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E9" w:rsidRPr="0007194F" w:rsidRDefault="008027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7194F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8027E9" w:rsidRPr="0007194F" w:rsidRDefault="008027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8F7728" w:rsidRPr="00276573" w:rsidRDefault="008F7728" w:rsidP="008F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77">
              <w:rPr>
                <w:rFonts w:ascii="Times New Roman" w:hAnsi="Times New Roman"/>
                <w:sz w:val="24"/>
                <w:szCs w:val="24"/>
              </w:rPr>
              <w:t>Universitatea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Babeș-Bolyai</w:t>
            </w:r>
          </w:p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8F7728" w:rsidRPr="00310377" w:rsidRDefault="008F7728" w:rsidP="008F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 Politice, Administrative și ale Comunicării</w:t>
            </w:r>
          </w:p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Comunicare, Relații Publice și Publicitate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Științele comunicării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8027E9" w:rsidRPr="0007194F" w:rsidRDefault="00266A32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Comunicare și Relații Publice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391"/>
        <w:gridCol w:w="432"/>
        <w:gridCol w:w="1074"/>
        <w:gridCol w:w="180"/>
        <w:gridCol w:w="358"/>
        <w:gridCol w:w="2145"/>
        <w:gridCol w:w="538"/>
        <w:gridCol w:w="2325"/>
        <w:gridCol w:w="590"/>
      </w:tblGrid>
      <w:tr w:rsidR="008027E9" w:rsidRPr="0007194F" w:rsidTr="00A5014E">
        <w:tc>
          <w:tcPr>
            <w:tcW w:w="2808" w:type="dxa"/>
            <w:gridSpan w:val="3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Denumirea disciplinei</w:t>
            </w:r>
          </w:p>
        </w:tc>
        <w:tc>
          <w:tcPr>
            <w:tcW w:w="7197" w:type="dxa"/>
            <w:gridSpan w:val="7"/>
          </w:tcPr>
          <w:p w:rsidR="008027E9" w:rsidRPr="008F7728" w:rsidRDefault="008F7728" w:rsidP="008F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Comunicare internă în organizații</w:t>
            </w:r>
          </w:p>
        </w:tc>
      </w:tr>
      <w:tr w:rsidR="008027E9" w:rsidRPr="0007194F" w:rsidTr="002812A5">
        <w:tc>
          <w:tcPr>
            <w:tcW w:w="4068" w:type="dxa"/>
            <w:gridSpan w:val="5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curs</w:t>
            </w:r>
          </w:p>
        </w:tc>
        <w:tc>
          <w:tcPr>
            <w:tcW w:w="5937" w:type="dxa"/>
            <w:gridSpan w:val="5"/>
          </w:tcPr>
          <w:p w:rsidR="008027E9" w:rsidRPr="0007194F" w:rsidRDefault="000125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Univ. Dr. </w:t>
            </w:r>
            <w:r w:rsidR="001A007B">
              <w:rPr>
                <w:rFonts w:ascii="Times New Roman" w:hAnsi="Times New Roman"/>
                <w:sz w:val="24"/>
                <w:szCs w:val="24"/>
              </w:rPr>
              <w:t>Ioan Hosu</w:t>
            </w:r>
          </w:p>
        </w:tc>
      </w:tr>
      <w:tr w:rsidR="008027E9" w:rsidRPr="0007194F" w:rsidTr="002812A5">
        <w:tc>
          <w:tcPr>
            <w:tcW w:w="4068" w:type="dxa"/>
            <w:gridSpan w:val="5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seminar</w:t>
            </w:r>
          </w:p>
        </w:tc>
        <w:tc>
          <w:tcPr>
            <w:tcW w:w="5937" w:type="dxa"/>
            <w:gridSpan w:val="5"/>
          </w:tcPr>
          <w:p w:rsidR="008027E9" w:rsidRPr="0007194F" w:rsidRDefault="000125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Asist. Asoc. D</w:t>
            </w:r>
            <w:r w:rsidR="00822787">
              <w:rPr>
                <w:rFonts w:ascii="Times New Roman" w:hAnsi="Times New Roman"/>
                <w:sz w:val="24"/>
                <w:szCs w:val="24"/>
              </w:rPr>
              <w:t>r</w:t>
            </w:r>
            <w:r w:rsidR="001A007B">
              <w:rPr>
                <w:rFonts w:ascii="Times New Roman" w:hAnsi="Times New Roman"/>
                <w:sz w:val="24"/>
                <w:szCs w:val="24"/>
              </w:rPr>
              <w:t xml:space="preserve">. Andreea Voina </w:t>
            </w:r>
          </w:p>
        </w:tc>
      </w:tr>
      <w:tr w:rsidR="008027E9" w:rsidRPr="0007194F" w:rsidTr="0007194F">
        <w:tc>
          <w:tcPr>
            <w:tcW w:w="1985" w:type="dxa"/>
          </w:tcPr>
          <w:p w:rsidR="008027E9" w:rsidRPr="0007194F" w:rsidRDefault="008027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8027E9" w:rsidRPr="0007194F" w:rsidRDefault="00AC142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12" w:type="dxa"/>
            <w:gridSpan w:val="2"/>
          </w:tcPr>
          <w:p w:rsidR="008027E9" w:rsidRPr="0007194F" w:rsidRDefault="008027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027E9" w:rsidRPr="0007194F" w:rsidRDefault="008027E9" w:rsidP="00A5014E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2.6. Tipul de evaluare</w:t>
            </w:r>
          </w:p>
        </w:tc>
        <w:tc>
          <w:tcPr>
            <w:tcW w:w="540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40" w:type="dxa"/>
          </w:tcPr>
          <w:p w:rsidR="008027E9" w:rsidRPr="0007194F" w:rsidRDefault="008027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</w:tc>
        <w:tc>
          <w:tcPr>
            <w:tcW w:w="537" w:type="dxa"/>
          </w:tcPr>
          <w:p w:rsidR="008027E9" w:rsidRPr="0007194F" w:rsidRDefault="000125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DS/ DO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Timpul total estimat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ore pe semestru al activităţilor didactice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8027E9" w:rsidRPr="0007194F" w:rsidTr="00A5014E">
        <w:tc>
          <w:tcPr>
            <w:tcW w:w="3790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sz w:val="24"/>
                <w:szCs w:val="24"/>
              </w:rPr>
              <w:t>Număr de ore pe săptămână</w:t>
            </w:r>
          </w:p>
        </w:tc>
        <w:tc>
          <w:tcPr>
            <w:tcW w:w="574" w:type="dxa"/>
            <w:gridSpan w:val="2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8027E9" w:rsidRPr="0007194F" w:rsidRDefault="008027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3.2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8027E9" w:rsidRPr="0007194F" w:rsidRDefault="008027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7E9" w:rsidRPr="0007194F" w:rsidTr="00A5014E">
        <w:tc>
          <w:tcPr>
            <w:tcW w:w="3790" w:type="dxa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>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3.5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  <w:shd w:val="clear" w:color="auto" w:fill="D9D9D9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  <w:shd w:val="clear" w:color="auto" w:fill="D9D9D9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Distribuţia fondului de timp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8027E9" w:rsidRPr="0007194F" w:rsidRDefault="00F510D4" w:rsidP="00670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00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8027E9" w:rsidRPr="0007194F" w:rsidRDefault="00F510D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activităţi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 ..................</w:t>
            </w:r>
          </w:p>
        </w:tc>
        <w:tc>
          <w:tcPr>
            <w:tcW w:w="555" w:type="dxa"/>
          </w:tcPr>
          <w:p w:rsidR="008027E9" w:rsidRPr="0007194F" w:rsidRDefault="00F510D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>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>
              <w:rPr>
                <w:rFonts w:ascii="Times New Roman" w:hAnsi="Times New Roman"/>
                <w:sz w:val="24"/>
                <w:szCs w:val="24"/>
              </w:rPr>
              <w:t>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AC142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ore conv.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hAnsi="Times New Roman"/>
                <w:sz w:val="24"/>
                <w:szCs w:val="24"/>
              </w:rPr>
              <w:t>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Precondiţii </w:t>
      </w:r>
      <w:r w:rsidRPr="000719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de curriculum</w:t>
            </w:r>
          </w:p>
        </w:tc>
        <w:tc>
          <w:tcPr>
            <w:tcW w:w="7694" w:type="dxa"/>
          </w:tcPr>
          <w:p w:rsidR="008027E9" w:rsidRPr="0007194F" w:rsidRDefault="00F510D4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/>
                <w:sz w:val="24"/>
                <w:szCs w:val="24"/>
              </w:rPr>
              <w:t>de competenţe</w:t>
            </w:r>
          </w:p>
        </w:tc>
        <w:tc>
          <w:tcPr>
            <w:tcW w:w="7694" w:type="dxa"/>
          </w:tcPr>
          <w:p w:rsidR="008027E9" w:rsidRPr="0007194F" w:rsidRDefault="00F510D4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Condiţii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De desfăşurare a cursului</w:t>
            </w:r>
          </w:p>
        </w:tc>
        <w:tc>
          <w:tcPr>
            <w:tcW w:w="7694" w:type="dxa"/>
          </w:tcPr>
          <w:p w:rsidR="008027E9" w:rsidRPr="008924DA" w:rsidRDefault="008924DA" w:rsidP="008924D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Conform Art. 29, alin. (1) din STATUTUL STUDENTULUI din Universitatea Babeș-Bolyai,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prezența studenților la cursuri este facultativă.</w:t>
            </w:r>
          </w:p>
        </w:tc>
      </w:tr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desfăşurare a seminarului/laboratorului</w:t>
            </w:r>
          </w:p>
        </w:tc>
        <w:tc>
          <w:tcPr>
            <w:tcW w:w="7694" w:type="dxa"/>
          </w:tcPr>
          <w:p w:rsidR="008027E9" w:rsidRPr="0007194F" w:rsidRDefault="008924DA" w:rsidP="008924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749">
              <w:rPr>
                <w:rFonts w:ascii="Times New Roman" w:hAnsi="Times New Roman"/>
                <w:sz w:val="24"/>
                <w:szCs w:val="24"/>
              </w:rPr>
              <w:t>Conform Art. 29, alin. 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80749">
              <w:rPr>
                <w:rFonts w:ascii="Times New Roman" w:hAnsi="Times New Roman"/>
                <w:sz w:val="24"/>
                <w:szCs w:val="24"/>
              </w:rPr>
              <w:t xml:space="preserve"> din STATUTUL STUDENTULUI din Universitatea Babeș-Bolyai, </w:t>
            </w:r>
            <w:r w:rsidRPr="0038074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380749">
              <w:rPr>
                <w:rFonts w:ascii="Times New Roman" w:hAnsi="Times New Roman"/>
                <w:i/>
                <w:sz w:val="24"/>
                <w:szCs w:val="24"/>
              </w:rPr>
              <w:t>ezența studenților la seminarii este obligatorie în proporție de 75%</w:t>
            </w:r>
            <w:r w:rsidRPr="00380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8027E9" w:rsidRPr="0007194F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8027E9" w:rsidRPr="0007194F" w:rsidRDefault="008027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F510D4" w:rsidRPr="0034565A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 xml:space="preserve">Identificarea și descrierea mediului comunicațional în care organizațiile naționale sau locale își globalizează activitatea </w:t>
            </w:r>
          </w:p>
          <w:p w:rsidR="00F510D4" w:rsidRPr="0034565A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>Adaptarea instrumentelor tehnice, tactice și strategice de RP la internaționalizarea activității organizațiilor naționale sau locale</w:t>
            </w:r>
          </w:p>
          <w:p w:rsidR="00F510D4" w:rsidRPr="0034565A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>Măsurarea percepției publice a imaginii unei organizații în contextul globalizării, cu ajutorul sondajelor de opinie,  al analizei statistice și al analizei calitative</w:t>
            </w:r>
          </w:p>
          <w:p w:rsidR="00F510D4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 xml:space="preserve">Crearea mai multor variante pentru aceeași imagine publică internațională a unei organizații </w:t>
            </w:r>
          </w:p>
          <w:p w:rsidR="00350A31" w:rsidRDefault="00350A31" w:rsidP="00350A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Crearea și utilizarea de instrumente de cercetare a unor elemente de comunicare internă</w:t>
            </w:r>
          </w:p>
          <w:p w:rsidR="008027E9" w:rsidRPr="00A468DF" w:rsidRDefault="00350A31" w:rsidP="00A468D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Capacitatea de a alege strategiile comunicaționale optime pentru a păstra un nivel ridicat al motivației, creativității, eficienței, simțului apartenenței din partea angajaților</w:t>
            </w:r>
          </w:p>
        </w:tc>
      </w:tr>
      <w:tr w:rsidR="008027E9" w:rsidRPr="0007194F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8027E9" w:rsidRPr="0007194F" w:rsidRDefault="008027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8027E9" w:rsidRDefault="00F510D4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 w:rsidRPr="00F510D4">
              <w:rPr>
                <w:rFonts w:ascii="Times New Roman" w:hAnsi="Times New Roman"/>
                <w:sz w:val="24"/>
                <w:szCs w:val="24"/>
              </w:rPr>
              <w:t>Abordarea în mod realist - cu argumentare atât teoretică, cât şi practică - a unor situaţii-problemă complexe, cu grad mediu de complexitate, în vederea soluţionării eficiente și deontologice a acestora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0D4" w:rsidRDefault="00B274B5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 w:rsidRPr="00B274B5">
              <w:rPr>
                <w:rFonts w:ascii="Times New Roman" w:hAnsi="Times New Roman"/>
                <w:sz w:val="24"/>
                <w:szCs w:val="24"/>
              </w:rPr>
              <w:t>Autoevaluarea obiectivă a nevoii de formare profesională în scopul inserţiei şi a menţinerii adaptabilităţii la cerinţele pieţei muncii</w:t>
            </w:r>
          </w:p>
          <w:p w:rsidR="00350A31" w:rsidRDefault="00350A31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Capacitatea de documentare și de selecție a materialelor credibile pe o temă dată.</w:t>
            </w:r>
          </w:p>
          <w:p w:rsidR="00350A31" w:rsidRPr="00B274B5" w:rsidRDefault="00350A31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Capacitatea de sinteză și analiză.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Obiectivele disciplinei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reieşind din grila competenţelor acumulate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>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8027E9" w:rsidRPr="00B274B5" w:rsidRDefault="00B274B5" w:rsidP="00B274B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Dezvoltarea capacității de analiză a unor elemente de comunicare internă ale organizațiilor locale sau globale în vederea optimizării proceselor de muncă ce presupun cooperarea între membri. </w:t>
            </w:r>
          </w:p>
        </w:tc>
      </w:tr>
      <w:tr w:rsidR="008027E9" w:rsidRPr="0007194F" w:rsidTr="00450A21">
        <w:tc>
          <w:tcPr>
            <w:tcW w:w="298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Obiectivele specifice</w:t>
            </w: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B274B5" w:rsidRPr="00B27D98" w:rsidRDefault="00B274B5" w:rsidP="00B274B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pt-BR"/>
              </w:rPr>
            </w:pPr>
            <w:r w:rsidRPr="00B27D98">
              <w:rPr>
                <w:rFonts w:ascii="Times New Roman" w:hAnsi="Times New Roman"/>
                <w:lang w:val="pt-BR"/>
              </w:rPr>
              <w:t>Aplicarea criteriilor,  metodelor si modelelor de evaluare folosite în  managementul comunicării şi relaţiilor publice</w:t>
            </w:r>
          </w:p>
          <w:p w:rsidR="00B274B5" w:rsidRPr="00B27D98" w:rsidRDefault="00B274B5" w:rsidP="00B274B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B27D98">
              <w:rPr>
                <w:rFonts w:ascii="Times New Roman" w:hAnsi="Times New Roman"/>
              </w:rPr>
              <w:t xml:space="preserve">Întocmirea de </w:t>
            </w:r>
            <w:r w:rsidRPr="00B27D98">
              <w:rPr>
                <w:rFonts w:ascii="Times New Roman" w:hAnsi="Times New Roman"/>
                <w:lang w:val="pt-BR"/>
              </w:rPr>
              <w:t>planificări  strategice pentru gestionarea unor disfuncționalități  de comun</w:t>
            </w:r>
            <w:r>
              <w:rPr>
                <w:rFonts w:ascii="Times New Roman" w:hAnsi="Times New Roman"/>
                <w:lang w:val="pt-BR"/>
              </w:rPr>
              <w:t>i</w:t>
            </w:r>
            <w:r w:rsidRPr="00B27D98">
              <w:rPr>
                <w:rFonts w:ascii="Times New Roman" w:hAnsi="Times New Roman"/>
                <w:lang w:val="pt-BR"/>
              </w:rPr>
              <w:t xml:space="preserve">care și RP </w:t>
            </w:r>
          </w:p>
          <w:p w:rsidR="008027E9" w:rsidRPr="0007194F" w:rsidRDefault="00B274B5" w:rsidP="00B274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D98">
              <w:rPr>
                <w:rFonts w:ascii="Times New Roman" w:hAnsi="Times New Roman"/>
              </w:rPr>
              <w:t xml:space="preserve">Elaboarea unor proiecte de investigație și intervenție în domeniul </w:t>
            </w:r>
            <w:r>
              <w:rPr>
                <w:rFonts w:ascii="Times New Roman" w:hAnsi="Times New Roman"/>
              </w:rPr>
              <w:t>comunicării interne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58"/>
        <w:gridCol w:w="1216"/>
      </w:tblGrid>
      <w:tr w:rsidR="008027E9" w:rsidRPr="0007194F" w:rsidTr="00350A31">
        <w:tc>
          <w:tcPr>
            <w:tcW w:w="550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3958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216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B274B5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Introducere. Organizaţii, instituţii, tipuri de organizaţii.</w:t>
            </w:r>
          </w:p>
        </w:tc>
        <w:tc>
          <w:tcPr>
            <w:tcW w:w="3958" w:type="dxa"/>
          </w:tcPr>
          <w:p w:rsidR="00B274B5" w:rsidRPr="001A007B" w:rsidRDefault="00350A31" w:rsidP="00450A21">
            <w:pPr>
              <w:spacing w:after="0" w:line="240" w:lineRule="auto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Strategii de comunicare în medii organizaţionale.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Climatul organizaţional.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rPr>
          <w:trHeight w:val="710"/>
        </w:trPr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şi comunicare. Cultură organizaţională şi cultură naţională.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rPr>
          <w:trHeight w:val="710"/>
        </w:trPr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Cultură şi comunicare. Elemente ale culturii, tipuri de cultură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Analiză și evaluare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Leadership. Stiluri de conducere.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lastRenderedPageBreak/>
              <w:t>Management vs leadership. Abilități ale liderului.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Management al informaţiei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Motivare și satisfacție în organizații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Comunicarea formală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Rețele informale (”the company behind the chart”)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Rețele de comunicare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Sinteza materialului didactic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B274B5" w:rsidRPr="0007194F" w:rsidTr="00450A21">
        <w:tc>
          <w:tcPr>
            <w:tcW w:w="10682" w:type="dxa"/>
            <w:gridSpan w:val="3"/>
            <w:shd w:val="clear" w:color="auto" w:fill="D9D9D9"/>
          </w:tcPr>
          <w:p w:rsidR="00B274B5" w:rsidRPr="001A007B" w:rsidRDefault="00B274B5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Bibliografie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W. Richard Scott. Instituţii şi organizaţii, Iaşi: Polirom, 2004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Ştefan Stanciu şi Mihaela Alexandra Ionescu. Cultură şi comportament organizaţional, Bucureşti: comunicare.ro, 2005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Ervin Goffman. Aziluri, Iaşi: Polirom, 2004, capitolul Despre caracteristicile instituţiilor totale, pp. 13-115, disponibil prin comandă pe www.polirom.ro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Dumitru Iacob, Diana Cismaru. Comunicare managerială şi relaţii publice, suport de curs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Geert Hofstede. Culture’s consequences, 1980, London: Sage, disponibilă parţial pe http://books.google.com/ sau la Biblioteca Central Universitară, P-ţa Lucian Blaga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Hofstede, G, Neuijen, B, Daval Ohayv, D., Sanders, G. Measuring organizational cultures: a qualitative and quantitative study across twenty cases. Administrative Science Quarterly, Vol. 35, 1990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Van Maanen, J., Schein, E.H. Toward a Theory of Organizational Socialization, MIT</w:t>
            </w:r>
          </w:p>
          <w:p w:rsidR="00B274B5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Ioan Hosu, Mihai Deac. Schimbare organizațională și comunicare internă, în The Proceedings of the Communication,  context,  interdisciplinarity Congress, vol.2, Editura Universității Petru Maior, Târgu-Mureș, 2012, ISSN 2069 – 3389, ISI Proceedings, pp. 50-56</w:t>
            </w:r>
          </w:p>
        </w:tc>
      </w:tr>
      <w:tr w:rsidR="00B274B5" w:rsidRPr="0007194F" w:rsidTr="00350A31">
        <w:tc>
          <w:tcPr>
            <w:tcW w:w="5508" w:type="dxa"/>
            <w:shd w:val="clear" w:color="auto" w:fill="D9D9D9"/>
          </w:tcPr>
          <w:p w:rsidR="00B274B5" w:rsidRPr="001A007B" w:rsidRDefault="00B274B5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8.2 Seminar / laborator</w:t>
            </w:r>
          </w:p>
        </w:tc>
        <w:tc>
          <w:tcPr>
            <w:tcW w:w="3958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Organizaţii, tipuri de </w:t>
            </w:r>
            <w:r w:rsidR="00220E1D" w:rsidRPr="001A007B">
              <w:rPr>
                <w:rFonts w:ascii="Times New Roman" w:hAnsi="Times New Roman"/>
              </w:rPr>
              <w:t>organizaţii, organizaţii totale</w:t>
            </w:r>
            <w:r w:rsidRPr="001A00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220E1D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organi</w:t>
            </w:r>
            <w:r w:rsidR="001A007B">
              <w:rPr>
                <w:rFonts w:ascii="Times New Roman" w:hAnsi="Times New Roman"/>
              </w:rPr>
              <w:t>zaţională şi cultură naţională</w:t>
            </w:r>
          </w:p>
        </w:tc>
        <w:tc>
          <w:tcPr>
            <w:tcW w:w="3958" w:type="dxa"/>
          </w:tcPr>
          <w:p w:rsidR="00220E1D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7B" w:rsidRPr="0007194F" w:rsidTr="001A007B">
        <w:tc>
          <w:tcPr>
            <w:tcW w:w="5508" w:type="dxa"/>
            <w:shd w:val="clear" w:color="auto" w:fill="D9D9D9"/>
            <w:vAlign w:val="center"/>
          </w:tcPr>
          <w:p w:rsidR="001A007B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organizaţională, tipuri de cultură, elemente ale culturii, cultura profesională a publicitarilor</w:t>
            </w:r>
            <w:r w:rsidR="00266A32">
              <w:rPr>
                <w:rFonts w:ascii="Times New Roman" w:hAnsi="Times New Roman"/>
              </w:rPr>
              <w:t xml:space="preserve"> și comunicatorilor</w:t>
            </w:r>
          </w:p>
        </w:tc>
        <w:tc>
          <w:tcPr>
            <w:tcW w:w="3958" w:type="dxa"/>
          </w:tcPr>
          <w:p w:rsidR="001A007B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organizaţională, tipuri de cultură, elemente ale culturii, cultura profesională a publicitarilor</w:t>
            </w:r>
            <w:r w:rsidR="00266A32">
              <w:rPr>
                <w:rFonts w:ascii="Times New Roman" w:hAnsi="Times New Roman"/>
              </w:rPr>
              <w:t xml:space="preserve"> și comunicatorilor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Socializare organizațională – tactici, dificultăți</w:t>
            </w:r>
            <w:r w:rsidR="003D137B" w:rsidRPr="001A00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Stiluri de conducere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7B" w:rsidRPr="0007194F" w:rsidTr="001A007B">
        <w:tc>
          <w:tcPr>
            <w:tcW w:w="5508" w:type="dxa"/>
            <w:shd w:val="clear" w:color="auto" w:fill="D9D9D9"/>
            <w:vAlign w:val="center"/>
          </w:tcPr>
          <w:p w:rsidR="001A007B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Testare scrisă</w:t>
            </w:r>
          </w:p>
        </w:tc>
        <w:tc>
          <w:tcPr>
            <w:tcW w:w="3958" w:type="dxa"/>
          </w:tcPr>
          <w:p w:rsidR="001A007B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</w:t>
            </w:r>
          </w:p>
        </w:tc>
        <w:tc>
          <w:tcPr>
            <w:tcW w:w="1216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Motivație și satisfacția angajatului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Demonstrație prin experiment. 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lastRenderedPageBreak/>
              <w:t>Formal și informal în organizații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7B" w:rsidRPr="0007194F" w:rsidTr="001A007B">
        <w:tc>
          <w:tcPr>
            <w:tcW w:w="5508" w:type="dxa"/>
            <w:shd w:val="clear" w:color="auto" w:fill="D9D9D9"/>
            <w:vAlign w:val="center"/>
          </w:tcPr>
          <w:p w:rsidR="001A007B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Spațiu fizic organizațional.</w:t>
            </w:r>
          </w:p>
        </w:tc>
        <w:tc>
          <w:tcPr>
            <w:tcW w:w="3958" w:type="dxa"/>
          </w:tcPr>
          <w:p w:rsidR="001A007B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220E1D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Muncă în echipă,</w:t>
            </w:r>
            <w:r w:rsidR="00D64F2A" w:rsidRPr="001A007B">
              <w:rPr>
                <w:rFonts w:ascii="Times New Roman" w:hAnsi="Times New Roman"/>
              </w:rPr>
              <w:t xml:space="preserve"> creativitate în echipe de lucru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Demonstrație prin experiment. 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</w:t>
            </w:r>
          </w:p>
        </w:tc>
        <w:tc>
          <w:tcPr>
            <w:tcW w:w="3958" w:type="dxa"/>
          </w:tcPr>
          <w:p w:rsidR="00220E1D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 în organizații</w:t>
            </w:r>
          </w:p>
        </w:tc>
        <w:tc>
          <w:tcPr>
            <w:tcW w:w="3958" w:type="dxa"/>
          </w:tcPr>
          <w:p w:rsidR="00220E1D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Elaborare referat</w:t>
            </w:r>
          </w:p>
        </w:tc>
        <w:tc>
          <w:tcPr>
            <w:tcW w:w="3958" w:type="dxa"/>
          </w:tcPr>
          <w:p w:rsidR="00220E1D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450A21">
        <w:tc>
          <w:tcPr>
            <w:tcW w:w="10682" w:type="dxa"/>
            <w:gridSpan w:val="3"/>
            <w:shd w:val="clear" w:color="auto" w:fill="D9D9D9"/>
          </w:tcPr>
          <w:p w:rsidR="001A007B" w:rsidRDefault="00B274B5" w:rsidP="001A007B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:rsidR="000125C9" w:rsidRPr="00A527F0" w:rsidRDefault="000125C9" w:rsidP="00A527F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Abendroth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K., Meltzer, S., </w:t>
            </w:r>
            <w:proofErr w:type="spellStart"/>
            <w:r>
              <w:rPr>
                <w:rFonts w:ascii="Times New Roman" w:hAnsi="Times New Roman"/>
                <w:lang w:val="en-US"/>
              </w:rPr>
              <w:t>Kalev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Tomaskovic-Devey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D. (2017). Women at work: Women’s access to power and the gender earnings gap. </w:t>
            </w:r>
            <w:r>
              <w:rPr>
                <w:rFonts w:ascii="Times New Roman" w:hAnsi="Times New Roman"/>
                <w:i/>
                <w:lang w:val="en-US"/>
              </w:rPr>
              <w:t>ILR Review, 70</w:t>
            </w:r>
            <w:r>
              <w:rPr>
                <w:rFonts w:ascii="Times New Roman" w:hAnsi="Times New Roman"/>
                <w:lang w:val="en-US"/>
              </w:rPr>
              <w:t>(1), 190-222.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Balint, J.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Considerente</w:t>
            </w:r>
            <w:proofErr w:type="spellEnd"/>
            <w:r w:rsidRPr="002E44D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privind</w:t>
            </w:r>
            <w:proofErr w:type="spellEnd"/>
            <w:r w:rsidRPr="002E44D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cultura</w:t>
            </w:r>
            <w:proofErr w:type="spellEnd"/>
            <w:r w:rsidRPr="002E44D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organiza</w:t>
            </w:r>
            <w:proofErr w:type="spellEnd"/>
            <w:r w:rsidRPr="002E44D2">
              <w:rPr>
                <w:rFonts w:ascii="Times New Roman" w:hAnsi="Times New Roman"/>
                <w:i/>
              </w:rPr>
              <w:t>țională. Studiu de caz la Banc Post-Oradea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Boca, D. C. (2013). </w:t>
            </w:r>
            <w:r>
              <w:rPr>
                <w:rFonts w:ascii="Times New Roman" w:hAnsi="Times New Roman"/>
                <w:i/>
              </w:rPr>
              <w:t>Influența dimensiunilor culturii naționale asupra comportamentului consumatorului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Cunliffe, A. L. (2008). Organization culture. In </w:t>
            </w:r>
            <w:r>
              <w:rPr>
                <w:rFonts w:ascii="Times New Roman" w:hAnsi="Times New Roman"/>
                <w:i/>
                <w:lang w:val="en-US"/>
              </w:rPr>
              <w:t xml:space="preserve">Organization theory </w:t>
            </w:r>
            <w:r>
              <w:rPr>
                <w:rFonts w:ascii="Times New Roman" w:hAnsi="Times New Roman"/>
                <w:lang w:val="en-US"/>
              </w:rPr>
              <w:t>(pp. 56-74). London: Sage Publications Ltd.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Cunliffe, A. L. (2008). Organization structure and design. In </w:t>
            </w:r>
            <w:r>
              <w:rPr>
                <w:rFonts w:ascii="Times New Roman" w:hAnsi="Times New Roman"/>
                <w:i/>
                <w:lang w:val="en-US"/>
              </w:rPr>
              <w:t xml:space="preserve">Organization theory </w:t>
            </w:r>
            <w:r>
              <w:rPr>
                <w:rFonts w:ascii="Times New Roman" w:hAnsi="Times New Roman"/>
                <w:lang w:val="en-US"/>
              </w:rPr>
              <w:t>(pp. 25-42). London: Sage Publications Ltd.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(1999). Mapping cultural values for global marketing and advertising. In </w:t>
            </w:r>
            <w:r>
              <w:rPr>
                <w:rFonts w:ascii="Times New Roman" w:hAnsi="Times New Roman"/>
                <w:i/>
                <w:lang w:val="en-US"/>
              </w:rPr>
              <w:t xml:space="preserve">International advertising: Realities and Myths </w:t>
            </w:r>
            <w:r>
              <w:rPr>
                <w:rFonts w:ascii="Times New Roman" w:hAnsi="Times New Roman"/>
                <w:lang w:val="en-US"/>
              </w:rPr>
              <w:t>(pp. 681-703)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(2003). Convergence and divergence in consumer behavior: implications for global advertising. </w:t>
            </w:r>
            <w:r>
              <w:rPr>
                <w:rFonts w:ascii="Times New Roman" w:hAnsi="Times New Roman"/>
                <w:i/>
                <w:lang w:val="en-US"/>
              </w:rPr>
              <w:t xml:space="preserve">International Journal of Advertising, 22, </w:t>
            </w:r>
            <w:r>
              <w:rPr>
                <w:rFonts w:ascii="Times New Roman" w:hAnsi="Times New Roman"/>
                <w:lang w:val="en-US"/>
              </w:rPr>
              <w:t>183-202.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Mooij, M. (2010). Mental processes across cultures: Implications for branding and communication. </w:t>
            </w:r>
            <w:r>
              <w:rPr>
                <w:rFonts w:ascii="Times New Roman" w:hAnsi="Times New Roman"/>
                <w:i/>
              </w:rPr>
              <w:t xml:space="preserve">Communicative Business, 1, </w:t>
            </w:r>
            <w:r>
              <w:rPr>
                <w:rFonts w:ascii="Times New Roman" w:hAnsi="Times New Roman"/>
              </w:rPr>
              <w:t xml:space="preserve">27-49. </w:t>
            </w:r>
          </w:p>
          <w:p w:rsidR="000125C9" w:rsidRPr="00125E81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(2010). Tailoring your strategy to fit the culture.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IESEinsight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, 5, </w:t>
            </w:r>
            <w:r>
              <w:rPr>
                <w:rFonts w:ascii="Times New Roman" w:hAnsi="Times New Roman"/>
                <w:lang w:val="en-US"/>
              </w:rPr>
              <w:t>23-30.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(2017). Comparing dimensions of national culture for secondary analysis of consumer behavior data of different countries. </w:t>
            </w:r>
            <w:r>
              <w:rPr>
                <w:rFonts w:ascii="Times New Roman" w:hAnsi="Times New Roman"/>
                <w:i/>
                <w:lang w:val="en-US"/>
              </w:rPr>
              <w:t>International Marketing Review, 34</w:t>
            </w:r>
            <w:r>
              <w:rPr>
                <w:rFonts w:ascii="Times New Roman" w:hAnsi="Times New Roman"/>
                <w:lang w:val="en-US"/>
              </w:rPr>
              <w:t>(3), 444-456.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Mooij, M., Hofstede, G. (2010). The Hofstede model: Applications to global branding and advertising strategy and research. </w:t>
            </w:r>
            <w:r>
              <w:rPr>
                <w:rFonts w:ascii="Times New Roman" w:hAnsi="Times New Roman"/>
                <w:i/>
              </w:rPr>
              <w:t>International Journal of Advertising, 29</w:t>
            </w:r>
            <w:r>
              <w:rPr>
                <w:rFonts w:ascii="Times New Roman" w:hAnsi="Times New Roman"/>
              </w:rPr>
              <w:t>(1), 85-110.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Mooij, M., Hofstede, G. (2011). Cross-cultural consumer behavior: A review of research findings. </w:t>
            </w:r>
            <w:r>
              <w:rPr>
                <w:rFonts w:ascii="Times New Roman" w:hAnsi="Times New Roman"/>
                <w:i/>
              </w:rPr>
              <w:t xml:space="preserve">Journal of International Consumer Marketing, 23, </w:t>
            </w:r>
            <w:r>
              <w:rPr>
                <w:rFonts w:ascii="Times New Roman" w:hAnsi="Times New Roman"/>
              </w:rPr>
              <w:t>181-192.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Diefenbach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T., </w:t>
            </w:r>
            <w:proofErr w:type="spellStart"/>
            <w:r>
              <w:rPr>
                <w:rFonts w:ascii="Times New Roman" w:hAnsi="Times New Roman"/>
                <w:lang w:val="en-US"/>
              </w:rPr>
              <w:t>Sillince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A. A. (2011). Formal and informal hierarchy in different types of organizations. </w:t>
            </w:r>
            <w:r>
              <w:rPr>
                <w:rFonts w:ascii="Times New Roman" w:hAnsi="Times New Roman"/>
                <w:i/>
                <w:lang w:val="en-US"/>
              </w:rPr>
              <w:t xml:space="preserve">Organization Studies, 32, </w:t>
            </w:r>
            <w:r>
              <w:rPr>
                <w:rFonts w:ascii="Times New Roman" w:hAnsi="Times New Roman"/>
                <w:lang w:val="en-US"/>
              </w:rPr>
              <w:t>1515-1537.</w:t>
            </w:r>
          </w:p>
          <w:p w:rsidR="000125C9" w:rsidRPr="006061BE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Enache, I. </w:t>
            </w:r>
            <w:r>
              <w:rPr>
                <w:rFonts w:ascii="Times New Roman" w:hAnsi="Times New Roman"/>
                <w:i/>
              </w:rPr>
              <w:t xml:space="preserve">Planificarea și organizarea serviciilor de bibliotecă, </w:t>
            </w:r>
            <w:r w:rsidRPr="006061BE">
              <w:rPr>
                <w:rFonts w:ascii="Times New Roman" w:hAnsi="Times New Roman"/>
              </w:rPr>
              <w:t>disponibil online</w:t>
            </w:r>
            <w:r>
              <w:rPr>
                <w:rFonts w:ascii="Times New Roman" w:hAnsi="Times New Roman"/>
              </w:rPr>
              <w:t xml:space="preserve"> la </w:t>
            </w:r>
            <w:r w:rsidRPr="006061BE">
              <w:rPr>
                <w:rFonts w:ascii="Times New Roman" w:hAnsi="Times New Roman"/>
              </w:rPr>
              <w:t>http://ebooks.unibuc.ro/StiinteCOM/planif/4.htm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Goffman, E. </w:t>
            </w:r>
            <w:r w:rsidRPr="002E44D2">
              <w:rPr>
                <w:rFonts w:ascii="Times New Roman" w:hAnsi="Times New Roman"/>
                <w:i/>
                <w:lang w:val="en-US"/>
              </w:rPr>
              <w:t>Characteristics of total institutions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Goodrich, K., de Mooij, M. (2014). How </w:t>
            </w:r>
            <w:r>
              <w:rPr>
                <w:rFonts w:ascii="Times New Roman" w:hAnsi="Times New Roman"/>
                <w:lang w:val="en-US"/>
              </w:rPr>
              <w:t xml:space="preserve">‘social’ are social media? A cross-cultural comparison of online and offline purchase decision influences. </w:t>
            </w:r>
            <w:r>
              <w:rPr>
                <w:rFonts w:ascii="Times New Roman" w:hAnsi="Times New Roman"/>
                <w:i/>
                <w:lang w:val="en-US"/>
              </w:rPr>
              <w:t xml:space="preserve">Journal of Marketing Communications, 20, </w:t>
            </w:r>
            <w:r>
              <w:rPr>
                <w:rFonts w:ascii="Times New Roman" w:hAnsi="Times New Roman"/>
                <w:lang w:val="en-US"/>
              </w:rPr>
              <w:t>103-116.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Gruman, J. A., Saks, A. M. (2011). Socialization preferences and intentions: Does one size fit all? </w:t>
            </w:r>
            <w:r>
              <w:rPr>
                <w:rFonts w:ascii="Times New Roman" w:hAnsi="Times New Roman"/>
                <w:i/>
              </w:rPr>
              <w:t xml:space="preserve">Journal of Vocational Behavior, 79, </w:t>
            </w:r>
            <w:r>
              <w:rPr>
                <w:rFonts w:ascii="Times New Roman" w:hAnsi="Times New Roman"/>
              </w:rPr>
              <w:t>419-427.</w:t>
            </w:r>
          </w:p>
          <w:p w:rsidR="000125C9" w:rsidRPr="006061BE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Halford, S. (2004). Towards a sociology of organizational space. </w:t>
            </w:r>
            <w:r>
              <w:rPr>
                <w:rFonts w:ascii="Times New Roman" w:hAnsi="Times New Roman"/>
                <w:i/>
              </w:rPr>
              <w:t>Sociological Research Online, 9</w:t>
            </w:r>
            <w:r>
              <w:rPr>
                <w:rFonts w:ascii="Times New Roman" w:hAnsi="Times New Roman"/>
              </w:rPr>
              <w:t>(1).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 w:rsidRPr="00F711CF">
              <w:rPr>
                <w:rFonts w:ascii="Times New Roman" w:hAnsi="Times New Roman"/>
              </w:rPr>
              <w:t>Halford, S.</w:t>
            </w:r>
            <w:r>
              <w:rPr>
                <w:rFonts w:ascii="Times New Roman" w:hAnsi="Times New Roman"/>
              </w:rPr>
              <w:t xml:space="preserve"> (2008). Sociologies of space, work and organisation: From fragments to spatial theory. </w:t>
            </w:r>
            <w:r>
              <w:rPr>
                <w:rFonts w:ascii="Times New Roman" w:hAnsi="Times New Roman"/>
                <w:i/>
              </w:rPr>
              <w:t xml:space="preserve">Sociology Compass, 2, </w:t>
            </w:r>
            <w:r w:rsidRPr="00F711CF">
              <w:rPr>
                <w:rFonts w:ascii="Times New Roman" w:hAnsi="Times New Roman"/>
              </w:rPr>
              <w:t>1-19.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Hofstede, G. (1995). Insurance as a product of national values. </w:t>
            </w:r>
            <w:r>
              <w:rPr>
                <w:rFonts w:ascii="Times New Roman" w:hAnsi="Times New Roman"/>
                <w:i/>
              </w:rPr>
              <w:t>The Geneva Papers on Risk and Insurance, 20</w:t>
            </w:r>
            <w:r>
              <w:rPr>
                <w:rFonts w:ascii="Times New Roman" w:hAnsi="Times New Roman"/>
              </w:rPr>
              <w:t>(77), 423-429.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Hofstede, G. (1998). Identifying organizational subcultures: An empirical approach. </w:t>
            </w:r>
            <w:r>
              <w:rPr>
                <w:rFonts w:ascii="Times New Roman" w:hAnsi="Times New Roman"/>
                <w:i/>
                <w:lang w:val="en-US"/>
              </w:rPr>
              <w:t xml:space="preserve">Journal of Management Studies, </w:t>
            </w:r>
            <w:r>
              <w:rPr>
                <w:rFonts w:ascii="Times New Roman" w:hAnsi="Times New Roman"/>
                <w:i/>
                <w:lang w:val="en-US"/>
              </w:rPr>
              <w:lastRenderedPageBreak/>
              <w:t>35</w:t>
            </w:r>
            <w:r>
              <w:rPr>
                <w:rFonts w:ascii="Times New Roman" w:hAnsi="Times New Roman"/>
                <w:lang w:val="en-US"/>
              </w:rPr>
              <w:t>(1), 1-12.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Hofstede, G., </w:t>
            </w:r>
            <w:proofErr w:type="spellStart"/>
            <w:r>
              <w:rPr>
                <w:rFonts w:ascii="Times New Roman" w:hAnsi="Times New Roman"/>
                <w:lang w:val="en-US"/>
              </w:rPr>
              <w:t>Neuijen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B., </w:t>
            </w:r>
            <w:proofErr w:type="spellStart"/>
            <w:r>
              <w:rPr>
                <w:rFonts w:ascii="Times New Roman" w:hAnsi="Times New Roman"/>
                <w:lang w:val="en-US"/>
              </w:rPr>
              <w:t>Ohayv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D. D., Sanders, G. (1990). Measuring organizational cultures: A qualitative and quantitative study across twenty cases. </w:t>
            </w:r>
            <w:r>
              <w:rPr>
                <w:rFonts w:ascii="Times New Roman" w:hAnsi="Times New Roman"/>
                <w:i/>
                <w:lang w:val="en-US"/>
              </w:rPr>
              <w:t xml:space="preserve">Administrative Science Quarterly, 35, </w:t>
            </w:r>
            <w:r>
              <w:rPr>
                <w:rFonts w:ascii="Times New Roman" w:hAnsi="Times New Roman"/>
                <w:lang w:val="en-US"/>
              </w:rPr>
              <w:t>286-316.</w:t>
            </w:r>
          </w:p>
          <w:p w:rsidR="000125C9" w:rsidRPr="006061BE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Iacob, D., Cismaru, D. M. </w:t>
            </w:r>
            <w:r w:rsidRPr="006061BE">
              <w:rPr>
                <w:rFonts w:ascii="Times New Roman" w:hAnsi="Times New Roman"/>
                <w:i/>
              </w:rPr>
              <w:t>Stiluri de conducere și comunicare</w:t>
            </w:r>
            <w:r>
              <w:rPr>
                <w:rFonts w:ascii="Times New Roman" w:hAnsi="Times New Roman"/>
              </w:rPr>
              <w:t xml:space="preserve"> (pp. 12-21)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Isaksen, S. G. (1998). </w:t>
            </w:r>
            <w:r w:rsidRPr="006061BE">
              <w:rPr>
                <w:rFonts w:ascii="Times New Roman" w:hAnsi="Times New Roman"/>
                <w:i/>
                <w:lang w:val="en-US"/>
              </w:rPr>
              <w:t>A review of brainstorming research: Six critical issues for inquiry.</w:t>
            </w:r>
            <w:r w:rsidRPr="006061BE">
              <w:rPr>
                <w:rFonts w:ascii="Times New Roman" w:hAnsi="Times New Roman"/>
                <w:lang w:val="en-US"/>
              </w:rPr>
              <w:t xml:space="preserve"> Buffalo: Creative Problem Solving Group.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Korte, R., Lin, S. (2013). Getting on board: Organizational socialization and the contribution of social capital. </w:t>
            </w:r>
            <w:r>
              <w:rPr>
                <w:rFonts w:ascii="Times New Roman" w:hAnsi="Times New Roman"/>
                <w:i/>
              </w:rPr>
              <w:t xml:space="preserve">Human Relations, 66, </w:t>
            </w:r>
            <w:r>
              <w:rPr>
                <w:rFonts w:ascii="Times New Roman" w:hAnsi="Times New Roman"/>
              </w:rPr>
              <w:t>407-428.</w:t>
            </w:r>
          </w:p>
          <w:p w:rsidR="000125C9" w:rsidRPr="006061BE" w:rsidRDefault="000125C9" w:rsidP="001A007B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Krackhardt</w:t>
            </w:r>
            <w:proofErr w:type="spellEnd"/>
            <w:r>
              <w:rPr>
                <w:rFonts w:ascii="Times New Roman" w:hAnsi="Times New Roman"/>
                <w:lang w:val="en-US"/>
              </w:rPr>
              <w:t>, D., Hanson, J. R. (1993). Informal networks: The company.</w:t>
            </w:r>
            <w:r>
              <w:rPr>
                <w:rFonts w:ascii="Times New Roman" w:hAnsi="Times New Roman"/>
                <w:i/>
                <w:lang w:val="en-US"/>
              </w:rPr>
              <w:t xml:space="preserve"> Harvard Business Review</w:t>
            </w:r>
            <w:r w:rsidRPr="006061BE">
              <w:rPr>
                <w:rFonts w:ascii="Times New Roman" w:hAnsi="Times New Roman"/>
                <w:lang w:val="en-US"/>
              </w:rPr>
              <w:t>, 104-111.</w:t>
            </w:r>
          </w:p>
          <w:p w:rsidR="000125C9" w:rsidRDefault="000125C9" w:rsidP="00A527F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Laloux, F. (2017). Organizația reinventată: un ghid pentru crearea organizațiilor inspirate de stadiul următor al conștiinței umane. București: Editura Vellant.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Leovaridis, C., Cismaru, D. M. (2016). Characteristics of organizational culture and climate in knowledge-intensive organizations. </w:t>
            </w:r>
            <w:r>
              <w:rPr>
                <w:rFonts w:ascii="Times New Roman" w:hAnsi="Times New Roman"/>
                <w:i/>
              </w:rPr>
              <w:t>Revista română de comunicare și relații publice, 16</w:t>
            </w:r>
            <w:r>
              <w:rPr>
                <w:rFonts w:ascii="Times New Roman" w:hAnsi="Times New Roman"/>
              </w:rPr>
              <w:t>(2), 35-56.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Litwin, A. H., Hallstein, L. O. (2007). Shadows and silences: How women</w:t>
            </w:r>
            <w:r>
              <w:rPr>
                <w:rFonts w:ascii="Times New Roman" w:hAnsi="Times New Roman"/>
                <w:lang w:val="en-US"/>
              </w:rPr>
              <w:t xml:space="preserve">’s positioning and unspoken friendship rules in organizational settings cultivate difficulties among some women at work. </w:t>
            </w:r>
            <w:r w:rsidRPr="00F711CF">
              <w:rPr>
                <w:rFonts w:ascii="Times New Roman" w:hAnsi="Times New Roman"/>
                <w:i/>
                <w:lang w:val="en-US"/>
              </w:rPr>
              <w:t>W</w:t>
            </w:r>
            <w:r>
              <w:rPr>
                <w:rFonts w:ascii="Times New Roman" w:hAnsi="Times New Roman"/>
                <w:i/>
                <w:lang w:val="en-US"/>
              </w:rPr>
              <w:t>omen’s Studies in Communication, 30</w:t>
            </w:r>
            <w:r>
              <w:rPr>
                <w:rFonts w:ascii="Times New Roman" w:hAnsi="Times New Roman"/>
                <w:lang w:val="en-US"/>
              </w:rPr>
              <w:t>(1), 111-142.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Meeuwesen</w:t>
            </w:r>
            <w:proofErr w:type="spellEnd"/>
            <w:r>
              <w:rPr>
                <w:rFonts w:ascii="Times New Roman" w:hAnsi="Times New Roman"/>
                <w:lang w:val="en-US"/>
              </w:rPr>
              <w:t>, L., van den Brink-</w:t>
            </w:r>
            <w:proofErr w:type="spellStart"/>
            <w:r>
              <w:rPr>
                <w:rFonts w:ascii="Times New Roman" w:hAnsi="Times New Roman"/>
                <w:lang w:val="en-US"/>
              </w:rPr>
              <w:t>Muinen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Hofstede, G. (2009). Can dimensions of national culture predict cross-national differences in medical communication? </w:t>
            </w:r>
            <w:r>
              <w:rPr>
                <w:rFonts w:ascii="Times New Roman" w:hAnsi="Times New Roman"/>
                <w:i/>
                <w:lang w:val="en-US"/>
              </w:rPr>
              <w:t xml:space="preserve">Patient Education and Counseling, 75, </w:t>
            </w:r>
            <w:r>
              <w:rPr>
                <w:rFonts w:ascii="Times New Roman" w:hAnsi="Times New Roman"/>
                <w:lang w:val="en-US"/>
              </w:rPr>
              <w:t>58-66.</w:t>
            </w:r>
          </w:p>
          <w:p w:rsidR="000125C9" w:rsidRPr="000125C9" w:rsidRDefault="000125C9" w:rsidP="00A527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Meyer, E. (2014). The culture map: Decoding how people think, lead, and get things done across cultures. New York: PublicAffairs.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Minkov, M., Hofstede, G. (2012). Hofstede’s fifth dimension: New evidence from the World Values Survey. </w:t>
            </w:r>
            <w:r>
              <w:rPr>
                <w:rFonts w:ascii="Times New Roman" w:hAnsi="Times New Roman"/>
                <w:i/>
              </w:rPr>
              <w:t>Journal of Cross-Cultural Psychology, 43</w:t>
            </w:r>
            <w:r>
              <w:rPr>
                <w:rFonts w:ascii="Times New Roman" w:hAnsi="Times New Roman"/>
              </w:rPr>
              <w:t>(1), 3-14.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Minkov, M., Hofstede, G. (2014). A replication of Hofstede’s uncertainty avoidance dimension across nationally representative samples from Europe. </w:t>
            </w:r>
            <w:r>
              <w:rPr>
                <w:rFonts w:ascii="Times New Roman" w:hAnsi="Times New Roman"/>
                <w:i/>
              </w:rPr>
              <w:t>International Journal of Cross Cultural Management, 14</w:t>
            </w:r>
            <w:r>
              <w:rPr>
                <w:rFonts w:ascii="Times New Roman" w:hAnsi="Times New Roman"/>
              </w:rPr>
              <w:t>(2), 161-171.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Minkov, M., Hofstede, G. (2014). Clustering of European regions on measures of values: Do Europe’s countries have national cultures? </w:t>
            </w:r>
            <w:r>
              <w:rPr>
                <w:rFonts w:ascii="Times New Roman" w:hAnsi="Times New Roman"/>
                <w:i/>
              </w:rPr>
              <w:t>Cross-Cultural Research, 48</w:t>
            </w:r>
            <w:r>
              <w:rPr>
                <w:rFonts w:ascii="Times New Roman" w:hAnsi="Times New Roman"/>
              </w:rPr>
              <w:t>(2), 144-176.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Paulus, P. B., Yang, H. C. (2000). Idea generation in groups: A basis for creativity in organizations. </w:t>
            </w:r>
            <w:r>
              <w:rPr>
                <w:rFonts w:ascii="Times New Roman" w:hAnsi="Times New Roman"/>
                <w:i/>
                <w:lang w:val="en-US"/>
              </w:rPr>
              <w:t>Organizational Behavior and Human Decision Processes, 82</w:t>
            </w:r>
            <w:r>
              <w:rPr>
                <w:rFonts w:ascii="Times New Roman" w:hAnsi="Times New Roman"/>
                <w:lang w:val="en-US"/>
              </w:rPr>
              <w:t>(1), 76-87.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Pfeffer, J. (2007). Human resources from an organizational behavior perspective: Some paradoxes explained. </w:t>
            </w:r>
            <w:r>
              <w:rPr>
                <w:rFonts w:ascii="Times New Roman" w:hAnsi="Times New Roman"/>
                <w:i/>
                <w:lang w:val="en-US"/>
              </w:rPr>
              <w:t>Journal of Economic Perspectives, 21</w:t>
            </w:r>
            <w:r>
              <w:rPr>
                <w:rFonts w:ascii="Times New Roman" w:hAnsi="Times New Roman"/>
                <w:lang w:val="en-US"/>
              </w:rPr>
              <w:t>(4), 115-134.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Pfeffer, J. (2010). Building sustainable organizations: The human factor. </w:t>
            </w:r>
            <w:r>
              <w:rPr>
                <w:rFonts w:ascii="Times New Roman" w:hAnsi="Times New Roman"/>
                <w:i/>
                <w:lang w:val="en-US"/>
              </w:rPr>
              <w:t xml:space="preserve">Academy of Management Perspectives, February, </w:t>
            </w:r>
            <w:r>
              <w:rPr>
                <w:rFonts w:ascii="Times New Roman" w:hAnsi="Times New Roman"/>
                <w:lang w:val="en-US"/>
              </w:rPr>
              <w:t>34-45.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Pfeffer, J. (2013). You’re still the same: Why theories of power hold over time and across contexts. </w:t>
            </w:r>
            <w:r>
              <w:rPr>
                <w:rFonts w:ascii="Times New Roman" w:hAnsi="Times New Roman"/>
                <w:i/>
                <w:lang w:val="en-US"/>
              </w:rPr>
              <w:t>The Academy of Management Perspectives, 27</w:t>
            </w:r>
            <w:r>
              <w:rPr>
                <w:rFonts w:ascii="Times New Roman" w:hAnsi="Times New Roman"/>
                <w:lang w:val="en-US"/>
              </w:rPr>
              <w:t>(4), 269-280.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Roco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(2002). Management </w:t>
            </w:r>
            <w:r>
              <w:rPr>
                <w:rFonts w:ascii="Times New Roman" w:hAnsi="Times New Roman"/>
              </w:rPr>
              <w:t xml:space="preserve">și inteligență emoțională. </w:t>
            </w:r>
            <w:r>
              <w:rPr>
                <w:rFonts w:ascii="Times New Roman" w:hAnsi="Times New Roman"/>
                <w:i/>
              </w:rPr>
              <w:t>Revista de psihologie organizațională, II</w:t>
            </w:r>
            <w:r>
              <w:rPr>
                <w:rFonts w:ascii="Times New Roman" w:hAnsi="Times New Roman"/>
              </w:rPr>
              <w:t>(1), 39-50.</w:t>
            </w:r>
          </w:p>
          <w:p w:rsidR="000125C9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Smith, P. B. (2011). Communication styles as dimensions of national culture. </w:t>
            </w:r>
            <w:r>
              <w:rPr>
                <w:rFonts w:ascii="Times New Roman" w:hAnsi="Times New Roman"/>
                <w:i/>
                <w:lang w:val="en-US"/>
              </w:rPr>
              <w:t>Journal of Cross-Cultural Psychology, 42</w:t>
            </w:r>
            <w:r>
              <w:rPr>
                <w:rFonts w:ascii="Times New Roman" w:hAnsi="Times New Roman"/>
                <w:lang w:val="en-US"/>
              </w:rPr>
              <w:t>(2), 216-233.</w:t>
            </w:r>
          </w:p>
          <w:p w:rsidR="000125C9" w:rsidRPr="006061BE" w:rsidRDefault="000125C9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Spangler, W. D., </w:t>
            </w:r>
            <w:proofErr w:type="spellStart"/>
            <w:r>
              <w:rPr>
                <w:rFonts w:ascii="Times New Roman" w:hAnsi="Times New Roman"/>
                <w:lang w:val="en-US"/>
              </w:rPr>
              <w:t>Tikhomirov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Sotak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K. L., </w:t>
            </w:r>
            <w:proofErr w:type="spellStart"/>
            <w:r>
              <w:rPr>
                <w:rFonts w:ascii="Times New Roman" w:hAnsi="Times New Roman"/>
                <w:lang w:val="en-US"/>
              </w:rPr>
              <w:t>Palrecha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R. (2014). Leader motive profiles in eight types of organizations. </w:t>
            </w:r>
            <w:r>
              <w:rPr>
                <w:rFonts w:ascii="Times New Roman" w:hAnsi="Times New Roman"/>
                <w:i/>
                <w:lang w:val="en-US"/>
              </w:rPr>
              <w:t xml:space="preserve">The leadership quarterly, 25, </w:t>
            </w:r>
            <w:r>
              <w:rPr>
                <w:rFonts w:ascii="Times New Roman" w:hAnsi="Times New Roman"/>
                <w:lang w:val="en-US"/>
              </w:rPr>
              <w:t>1080-1094.</w:t>
            </w:r>
          </w:p>
          <w:p w:rsidR="000125C9" w:rsidRPr="000125C9" w:rsidRDefault="000125C9" w:rsidP="00A527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Van Maanen, J., Schein, E. H. </w:t>
            </w:r>
            <w:r w:rsidRPr="003E32DD">
              <w:rPr>
                <w:rFonts w:ascii="Times New Roman" w:hAnsi="Times New Roman"/>
                <w:i/>
              </w:rPr>
              <w:t>Toward a theory of organizational socialization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027E9" w:rsidRPr="0007194F" w:rsidTr="00450A21">
        <w:tc>
          <w:tcPr>
            <w:tcW w:w="10682" w:type="dxa"/>
          </w:tcPr>
          <w:p w:rsidR="008027E9" w:rsidRDefault="003D137B" w:rsidP="003D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Practic, conținuturile </w:t>
            </w:r>
            <w:r w:rsidR="00913367">
              <w:rPr>
                <w:rFonts w:ascii="Times New Roman" w:hAnsi="Times New Roman"/>
                <w:sz w:val="24"/>
                <w:szCs w:val="24"/>
              </w:rPr>
              <w:t>disciplinei sunt relevante pe două planuri:</w:t>
            </w:r>
          </w:p>
          <w:p w:rsidR="00913367" w:rsidRDefault="00913367" w:rsidP="0091336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 angajați în orice domeniu, absolvenții vor reuși să înțeleagă mai bine relațiile dintre ei înșiși, colegi și superiori ierarhici.</w:t>
            </w:r>
          </w:p>
          <w:p w:rsidR="00913367" w:rsidRDefault="00913367" w:rsidP="0091336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 angajați cu sarcini pe partea de management al comunicării interne, absolvenții vor putea să mărească productivitatea, satisfacția și simțul apartenenței din partea angajaților, utilizând metode de comunicare internă.</w:t>
            </w:r>
            <w:r w:rsidR="00A468DF">
              <w:rPr>
                <w:rFonts w:ascii="Times New Roman" w:hAnsi="Times New Roman"/>
                <w:sz w:val="24"/>
                <w:szCs w:val="24"/>
              </w:rPr>
              <w:t xml:space="preserve"> De asemenea, creativitatea fiind un criteriu important pentru domeniul publicității, absolvenții vor fi pregătiți să furnizeze cele mai eficiente metode de producție de idei în grup sau individual.</w:t>
            </w:r>
          </w:p>
          <w:p w:rsidR="00913367" w:rsidRPr="0007194F" w:rsidRDefault="00913367" w:rsidP="0091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În acest sens, disciplina este relevantă în raport cu așteptările angajatorilor. </w:t>
            </w:r>
          </w:p>
          <w:p w:rsidR="008027E9" w:rsidRPr="0007194F" w:rsidRDefault="008027E9" w:rsidP="0091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8027E9" w:rsidRPr="0007194F" w:rsidTr="00450A21">
        <w:tc>
          <w:tcPr>
            <w:tcW w:w="2670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>
              <w:rPr>
                <w:rFonts w:ascii="Times New Roman" w:hAnsi="Times New Roman"/>
                <w:sz w:val="24"/>
                <w:szCs w:val="24"/>
              </w:rPr>
              <w:t>Criterii de evaluare</w:t>
            </w:r>
          </w:p>
        </w:tc>
        <w:tc>
          <w:tcPr>
            <w:tcW w:w="2967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  <w:r>
              <w:rPr>
                <w:rFonts w:ascii="Times New Roman" w:hAnsi="Times New Roman"/>
                <w:sz w:val="24"/>
                <w:szCs w:val="24"/>
              </w:rPr>
              <w:t>metode de evaluare</w:t>
            </w:r>
          </w:p>
        </w:tc>
        <w:tc>
          <w:tcPr>
            <w:tcW w:w="2217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  <w:r>
              <w:rPr>
                <w:rFonts w:ascii="Times New Roman" w:hAnsi="Times New Roman"/>
                <w:sz w:val="24"/>
                <w:szCs w:val="24"/>
              </w:rPr>
              <w:t>Pondere din nota finală</w:t>
            </w:r>
          </w:p>
        </w:tc>
      </w:tr>
      <w:tr w:rsidR="001A007B" w:rsidRPr="0007194F" w:rsidTr="005B3F92">
        <w:trPr>
          <w:trHeight w:val="562"/>
        </w:trPr>
        <w:tc>
          <w:tcPr>
            <w:tcW w:w="2670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828" w:type="dxa"/>
            <w:shd w:val="clear" w:color="auto" w:fill="D9D9D9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2967" w:type="dxa"/>
          </w:tcPr>
          <w:p w:rsidR="001A007B" w:rsidRPr="0007194F" w:rsidRDefault="001A007B" w:rsidP="0084185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1F">
              <w:rPr>
                <w:rFonts w:ascii="Times New Roman" w:hAnsi="Times New Roman"/>
                <w:sz w:val="24"/>
                <w:szCs w:val="24"/>
              </w:rPr>
              <w:t>Evaluare tip examen scris, redacțional</w:t>
            </w:r>
          </w:p>
        </w:tc>
        <w:tc>
          <w:tcPr>
            <w:tcW w:w="2217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527F0" w:rsidRPr="0007194F" w:rsidTr="00450A21">
        <w:trPr>
          <w:trHeight w:val="135"/>
        </w:trPr>
        <w:tc>
          <w:tcPr>
            <w:tcW w:w="2670" w:type="dxa"/>
            <w:vMerge w:val="restart"/>
          </w:tcPr>
          <w:p w:rsidR="00A527F0" w:rsidRPr="0007194F" w:rsidRDefault="00A527F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10.5 S</w:t>
            </w:r>
            <w:r>
              <w:rPr>
                <w:rFonts w:ascii="Times New Roman" w:hAnsi="Times New Roman"/>
                <w:sz w:val="24"/>
                <w:szCs w:val="24"/>
              </w:rPr>
              <w:t>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828" w:type="dxa"/>
            <w:shd w:val="clear" w:color="auto" w:fill="D9D9D9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</w:p>
        </w:tc>
        <w:tc>
          <w:tcPr>
            <w:tcW w:w="2967" w:type="dxa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Evaluarea activității bazate pe lecturile săptămânale de la seminar.</w:t>
            </w:r>
          </w:p>
        </w:tc>
        <w:tc>
          <w:tcPr>
            <w:tcW w:w="2217" w:type="dxa"/>
          </w:tcPr>
          <w:p w:rsidR="00A527F0" w:rsidRPr="0007194F" w:rsidRDefault="008227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7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527F0" w:rsidRPr="0007194F" w:rsidTr="00450A21">
        <w:trPr>
          <w:trHeight w:val="135"/>
        </w:trPr>
        <w:tc>
          <w:tcPr>
            <w:tcW w:w="2670" w:type="dxa"/>
            <w:vMerge/>
          </w:tcPr>
          <w:p w:rsidR="00A527F0" w:rsidRPr="0007194F" w:rsidRDefault="00A527F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2967" w:type="dxa"/>
          </w:tcPr>
          <w:p w:rsidR="00A527F0" w:rsidRPr="0007194F" w:rsidRDefault="00A527F0" w:rsidP="001A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tip test scris, conținând întrebări practice cu referire la materialele discutate la seminar.</w:t>
            </w:r>
          </w:p>
        </w:tc>
        <w:tc>
          <w:tcPr>
            <w:tcW w:w="2217" w:type="dxa"/>
          </w:tcPr>
          <w:p w:rsidR="00A527F0" w:rsidRPr="0007194F" w:rsidRDefault="008227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7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527F0" w:rsidRPr="0007194F" w:rsidTr="00450A21">
        <w:trPr>
          <w:trHeight w:val="135"/>
        </w:trPr>
        <w:tc>
          <w:tcPr>
            <w:tcW w:w="2670" w:type="dxa"/>
            <w:vMerge/>
          </w:tcPr>
          <w:p w:rsidR="00A527F0" w:rsidRPr="0007194F" w:rsidRDefault="00A527F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Referat</w:t>
            </w:r>
          </w:p>
        </w:tc>
        <w:tc>
          <w:tcPr>
            <w:tcW w:w="2967" w:type="dxa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tip referat scris, de tip sinteză teoretică, pe o temă la alegere.</w:t>
            </w:r>
          </w:p>
        </w:tc>
        <w:tc>
          <w:tcPr>
            <w:tcW w:w="2217" w:type="dxa"/>
          </w:tcPr>
          <w:p w:rsidR="00A527F0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175CD" w:rsidRPr="0007194F" w:rsidTr="0016073A">
        <w:trPr>
          <w:trHeight w:val="135"/>
        </w:trPr>
        <w:tc>
          <w:tcPr>
            <w:tcW w:w="10682" w:type="dxa"/>
            <w:gridSpan w:val="4"/>
          </w:tcPr>
          <w:p w:rsidR="00C175CD" w:rsidRDefault="00C175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27">
              <w:rPr>
                <w:rFonts w:ascii="Times New Roman" w:hAnsi="Times New Roman"/>
                <w:b/>
                <w:sz w:val="24"/>
                <w:szCs w:val="24"/>
              </w:rPr>
              <w:t xml:space="preserve">Nota finală reprezintă media notelor obținute la curs și la seminar, iar pentru promovarea materiei este obligatoriu ca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fiecare dintre cele două note</w:t>
            </w:r>
            <w:r w:rsidRPr="00B54F27">
              <w:rPr>
                <w:rFonts w:ascii="Times New Roman" w:hAnsi="Times New Roman"/>
                <w:b/>
                <w:sz w:val="24"/>
                <w:szCs w:val="24"/>
              </w:rPr>
              <w:t xml:space="preserve"> să fie minim 5.</w:t>
            </w:r>
          </w:p>
        </w:tc>
      </w:tr>
      <w:tr w:rsidR="008027E9" w:rsidRPr="0007194F" w:rsidTr="00450A21">
        <w:tc>
          <w:tcPr>
            <w:tcW w:w="10682" w:type="dxa"/>
            <w:gridSpan w:val="4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  <w:r>
              <w:rPr>
                <w:rFonts w:ascii="Times New Roman" w:hAnsi="Times New Roman"/>
                <w:sz w:val="24"/>
                <w:szCs w:val="24"/>
              </w:rPr>
              <w:t>Standard minim de performanţă</w:t>
            </w:r>
          </w:p>
        </w:tc>
      </w:tr>
      <w:tr w:rsidR="008027E9" w:rsidRPr="0007194F" w:rsidTr="00450A21">
        <w:tc>
          <w:tcPr>
            <w:tcW w:w="10682" w:type="dxa"/>
            <w:gridSpan w:val="4"/>
          </w:tcPr>
          <w:p w:rsidR="0084185E" w:rsidRDefault="0084185E" w:rsidP="008418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71F">
              <w:rPr>
                <w:rFonts w:ascii="Times New Roman" w:hAnsi="Times New Roman"/>
                <w:sz w:val="24"/>
                <w:szCs w:val="24"/>
              </w:rPr>
              <w:t>Standarde minimale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curs</w:t>
            </w:r>
            <w:r w:rsidRPr="007607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realizarea unor răspunsuri coerente, argumentate, la probleme specifice ale cursului.</w:t>
            </w:r>
          </w:p>
          <w:p w:rsidR="0084185E" w:rsidRDefault="0084185E" w:rsidP="008418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Standarde minimale activitate: studentul relatează coerent despre și dovedește că a parcurs minim </w:t>
            </w:r>
            <w:r w:rsidR="00A527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dintre materialele propuse în bibliografia seminarului.</w:t>
            </w:r>
          </w:p>
          <w:p w:rsidR="0084185E" w:rsidRDefault="0084185E" w:rsidP="008418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Standarde minimale test scris seminar: studentul alege soluția cea mai fezabilă pentru comunicarea internă în cel puțin jumătate dintre problemele pe care le primește.</w:t>
            </w:r>
          </w:p>
          <w:p w:rsidR="008027E9" w:rsidRPr="0007194F" w:rsidRDefault="0084185E" w:rsidP="00A527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Standarde minimale referat: studentul este capabil să sintetizeze și să analizeze critic informația din cel puțin 4 surse bibliografice credibile, actuale și variate pe tema aleasă și produce un </w:t>
            </w:r>
            <w:r w:rsidR="001A007B">
              <w:rPr>
                <w:rFonts w:ascii="Times New Roman" w:hAnsi="Times New Roman"/>
                <w:sz w:val="24"/>
                <w:szCs w:val="24"/>
              </w:rPr>
              <w:t>material original.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A1640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345B4EA1" wp14:editId="2DE4537A">
            <wp:simplePos x="0" y="0"/>
            <wp:positionH relativeFrom="column">
              <wp:posOffset>4924425</wp:posOffset>
            </wp:positionH>
            <wp:positionV relativeFrom="paragraph">
              <wp:posOffset>140335</wp:posOffset>
            </wp:positionV>
            <wp:extent cx="885825" cy="3225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E9">
        <w:rPr>
          <w:rFonts w:ascii="Times New Roman" w:hAnsi="Times New Roman"/>
          <w:sz w:val="24"/>
          <w:szCs w:val="24"/>
        </w:rPr>
        <w:t>Data completării</w:t>
      </w:r>
      <w:r w:rsidR="008027E9">
        <w:rPr>
          <w:rFonts w:ascii="Times New Roman" w:hAnsi="Times New Roman"/>
          <w:sz w:val="24"/>
          <w:szCs w:val="24"/>
        </w:rPr>
        <w:tab/>
      </w:r>
      <w:r w:rsidR="008027E9">
        <w:rPr>
          <w:rFonts w:ascii="Times New Roman" w:hAnsi="Times New Roman"/>
          <w:sz w:val="24"/>
          <w:szCs w:val="24"/>
        </w:rPr>
        <w:tab/>
        <w:t>Semnătura titularului de curs</w:t>
      </w:r>
      <w:r w:rsidR="008027E9">
        <w:rPr>
          <w:rFonts w:ascii="Times New Roman" w:hAnsi="Times New Roman"/>
          <w:sz w:val="24"/>
          <w:szCs w:val="24"/>
        </w:rPr>
        <w:tab/>
      </w:r>
      <w:r w:rsidR="008027E9"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8027E9" w:rsidRPr="0007194F" w:rsidRDefault="00B4027C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Septembrie 2019</w:t>
      </w:r>
      <w:bookmarkStart w:id="0" w:name="_GoBack"/>
      <w:bookmarkEnd w:id="0"/>
      <w:r w:rsidR="008027E9">
        <w:rPr>
          <w:rFonts w:ascii="Times New Roman" w:hAnsi="Times New Roman"/>
          <w:sz w:val="24"/>
          <w:szCs w:val="24"/>
        </w:rPr>
        <w:tab/>
      </w:r>
      <w:r w:rsidR="008027E9">
        <w:rPr>
          <w:rFonts w:ascii="Times New Roman" w:hAnsi="Times New Roman"/>
          <w:sz w:val="24"/>
          <w:szCs w:val="24"/>
        </w:rPr>
        <w:tab/>
      </w:r>
      <w:r w:rsidR="008027E9" w:rsidRPr="0007194F">
        <w:rPr>
          <w:rFonts w:ascii="Times New Roman" w:hAnsi="Times New Roman"/>
          <w:sz w:val="24"/>
          <w:szCs w:val="24"/>
        </w:rPr>
        <w:t>...............................</w:t>
      </w:r>
      <w:r w:rsidR="008027E9" w:rsidRPr="0007194F">
        <w:rPr>
          <w:rFonts w:ascii="Times New Roman" w:hAnsi="Times New Roman"/>
          <w:sz w:val="24"/>
          <w:szCs w:val="24"/>
        </w:rPr>
        <w:tab/>
      </w:r>
      <w:r w:rsidR="008027E9" w:rsidRPr="0007194F">
        <w:rPr>
          <w:rFonts w:ascii="Times New Roman" w:hAnsi="Times New Roman"/>
          <w:sz w:val="24"/>
          <w:szCs w:val="24"/>
        </w:rPr>
        <w:tab/>
      </w:r>
      <w:r w:rsidR="008027E9" w:rsidRPr="0007194F">
        <w:rPr>
          <w:rFonts w:ascii="Times New Roman" w:hAnsi="Times New Roman"/>
          <w:sz w:val="24"/>
          <w:szCs w:val="24"/>
        </w:rPr>
        <w:tab/>
        <w:t>....................</w:t>
      </w:r>
      <w:r w:rsidR="00A16409" w:rsidRPr="00A16409">
        <w:rPr>
          <w:noProof/>
          <w:lang w:eastAsia="ro-RO"/>
        </w:rPr>
        <w:t xml:space="preserve"> </w:t>
      </w:r>
      <w:r w:rsidR="008027E9" w:rsidRPr="0007194F">
        <w:rPr>
          <w:rFonts w:ascii="Times New Roman" w:hAnsi="Times New Roman"/>
          <w:sz w:val="24"/>
          <w:szCs w:val="24"/>
        </w:rPr>
        <w:t>...............</w:t>
      </w:r>
    </w:p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…..</w:t>
      </w:r>
      <w:r w:rsidRPr="0007194F">
        <w:rPr>
          <w:rFonts w:ascii="Times New Roman" w:hAnsi="Times New Roman"/>
          <w:sz w:val="24"/>
          <w:szCs w:val="24"/>
        </w:rPr>
        <w:t>..........................</w:t>
      </w:r>
      <w:r w:rsidRPr="0007194F">
        <w:rPr>
          <w:rFonts w:ascii="Times New Roman" w:hAnsi="Times New Roman"/>
          <w:sz w:val="24"/>
          <w:szCs w:val="24"/>
        </w:rPr>
        <w:tab/>
      </w:r>
    </w:p>
    <w:sectPr w:rsidR="008027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79B1"/>
    <w:multiLevelType w:val="hybridMultilevel"/>
    <w:tmpl w:val="A29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6E37"/>
    <w:multiLevelType w:val="hybridMultilevel"/>
    <w:tmpl w:val="F1FC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51C"/>
    <w:multiLevelType w:val="hybridMultilevel"/>
    <w:tmpl w:val="A51E03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48A4"/>
    <w:multiLevelType w:val="hybridMultilevel"/>
    <w:tmpl w:val="DFAC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5C88"/>
    <w:multiLevelType w:val="hybridMultilevel"/>
    <w:tmpl w:val="23A01B36"/>
    <w:lvl w:ilvl="0" w:tplc="D4AA3A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C26A1"/>
    <w:multiLevelType w:val="multilevel"/>
    <w:tmpl w:val="3372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50DC"/>
    <w:multiLevelType w:val="hybridMultilevel"/>
    <w:tmpl w:val="FAD8F17E"/>
    <w:lvl w:ilvl="0" w:tplc="54801C8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9D786D"/>
    <w:multiLevelType w:val="hybridMultilevel"/>
    <w:tmpl w:val="013C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F77"/>
    <w:rsid w:val="000125C9"/>
    <w:rsid w:val="00032687"/>
    <w:rsid w:val="0007194F"/>
    <w:rsid w:val="001A007B"/>
    <w:rsid w:val="00220E1D"/>
    <w:rsid w:val="00266A32"/>
    <w:rsid w:val="0027455B"/>
    <w:rsid w:val="002812A5"/>
    <w:rsid w:val="00291777"/>
    <w:rsid w:val="0034390B"/>
    <w:rsid w:val="00343DED"/>
    <w:rsid w:val="00350A31"/>
    <w:rsid w:val="003806E1"/>
    <w:rsid w:val="003B5A02"/>
    <w:rsid w:val="003D137B"/>
    <w:rsid w:val="003E7F77"/>
    <w:rsid w:val="004001C9"/>
    <w:rsid w:val="00450A21"/>
    <w:rsid w:val="005A12E1"/>
    <w:rsid w:val="00670055"/>
    <w:rsid w:val="00696A5C"/>
    <w:rsid w:val="006D061F"/>
    <w:rsid w:val="007449F1"/>
    <w:rsid w:val="00757C43"/>
    <w:rsid w:val="00761633"/>
    <w:rsid w:val="008027E9"/>
    <w:rsid w:val="00822787"/>
    <w:rsid w:val="0083153A"/>
    <w:rsid w:val="0084185E"/>
    <w:rsid w:val="008712DB"/>
    <w:rsid w:val="008924DA"/>
    <w:rsid w:val="00897094"/>
    <w:rsid w:val="00897E4F"/>
    <w:rsid w:val="008F7728"/>
    <w:rsid w:val="00913367"/>
    <w:rsid w:val="00A16409"/>
    <w:rsid w:val="00A352F6"/>
    <w:rsid w:val="00A468DF"/>
    <w:rsid w:val="00A5014E"/>
    <w:rsid w:val="00A5105A"/>
    <w:rsid w:val="00A527F0"/>
    <w:rsid w:val="00A637BC"/>
    <w:rsid w:val="00AB18CF"/>
    <w:rsid w:val="00AC1424"/>
    <w:rsid w:val="00B274B5"/>
    <w:rsid w:val="00B307D4"/>
    <w:rsid w:val="00B4027C"/>
    <w:rsid w:val="00B7109F"/>
    <w:rsid w:val="00C1183D"/>
    <w:rsid w:val="00C175CD"/>
    <w:rsid w:val="00CE71E1"/>
    <w:rsid w:val="00D64F2A"/>
    <w:rsid w:val="00DD2B25"/>
    <w:rsid w:val="00E037F6"/>
    <w:rsid w:val="00EB1368"/>
    <w:rsid w:val="00F15C49"/>
    <w:rsid w:val="00F510D4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443B31"/>
  <w15:docId w15:val="{98173956-297A-4940-B752-0D9BA63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36"/>
    <w:rPr>
      <w:rFonts w:ascii="Times New Roman" w:hAnsi="Times New Roman"/>
      <w:sz w:val="0"/>
      <w:szCs w:val="0"/>
      <w:lang w:val="ro-RO"/>
    </w:rPr>
  </w:style>
  <w:style w:type="paragraph" w:styleId="NormalWeb">
    <w:name w:val="Normal (Web)"/>
    <w:basedOn w:val="Normal"/>
    <w:uiPriority w:val="99"/>
    <w:unhideWhenUsed/>
    <w:rsid w:val="00B27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Emphasis">
    <w:name w:val="Emphasis"/>
    <w:uiPriority w:val="20"/>
    <w:qFormat/>
    <w:locked/>
    <w:rsid w:val="00B274B5"/>
    <w:rPr>
      <w:i/>
      <w:iCs/>
    </w:rPr>
  </w:style>
  <w:style w:type="character" w:styleId="Hyperlink">
    <w:name w:val="Hyperlink"/>
    <w:uiPriority w:val="99"/>
    <w:unhideWhenUsed/>
    <w:rsid w:val="00D64F2A"/>
    <w:rPr>
      <w:color w:val="0000FF"/>
      <w:u w:val="single"/>
    </w:rPr>
  </w:style>
  <w:style w:type="character" w:customStyle="1" w:styleId="apple-converted-space">
    <w:name w:val="apple-converted-space"/>
    <w:rsid w:val="003D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16876</cp:lastModifiedBy>
  <cp:revision>4</cp:revision>
  <cp:lastPrinted>2012-06-29T09:42:00Z</cp:lastPrinted>
  <dcterms:created xsi:type="dcterms:W3CDTF">2019-01-16T06:55:00Z</dcterms:created>
  <dcterms:modified xsi:type="dcterms:W3CDTF">2020-02-26T17:51:00Z</dcterms:modified>
</cp:coreProperties>
</file>