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GB"/>
        </w:rPr>
      </w:pPr>
      <w:bookmarkStart w:id="0" w:name="_GoBack"/>
      <w:bookmarkEnd w:id="0"/>
    </w:p>
    <w:p>
      <w:pPr>
        <w:rPr>
          <w:lang w:val="en-GB"/>
        </w:rPr>
      </w:pPr>
    </w:p>
    <w:p>
      <w:pPr>
        <w:rPr>
          <w:lang w:val="en-GB"/>
        </w:rPr>
      </w:pPr>
    </w:p>
    <w:p>
      <w:pPr>
        <w:rPr>
          <w:lang w:val="en-GB"/>
        </w:rPr>
      </w:pPr>
    </w:p>
    <w:p>
      <w:pPr>
        <w:rPr>
          <w:lang w:val="en-GB"/>
        </w:rPr>
      </w:pPr>
    </w:p>
    <w:p>
      <w:pPr>
        <w:rPr>
          <w:lang w:val="en-GB"/>
        </w:rPr>
      </w:pPr>
    </w:p>
    <w:p>
      <w:pPr>
        <w:jc w:val="center"/>
        <w:rPr>
          <w:rFonts w:ascii="Arial" w:hAnsi="Arial" w:cs="Arial" w:eastAsiaTheme="majorEastAsia"/>
          <w:b/>
          <w:bCs/>
          <w:sz w:val="44"/>
          <w:szCs w:val="44"/>
          <w:lang w:val="en-GB"/>
        </w:rPr>
      </w:pPr>
      <w:r>
        <w:rPr>
          <w:rFonts w:ascii="Arial" w:hAnsi="Arial" w:cs="Arial" w:eastAsiaTheme="majorEastAsia"/>
          <w:b/>
          <w:bCs/>
          <w:sz w:val="44"/>
          <w:szCs w:val="44"/>
          <w:lang w:val="en-GB"/>
        </w:rPr>
        <w:t>Children left behind by labour migration:</w:t>
      </w:r>
    </w:p>
    <w:p>
      <w:pPr>
        <w:jc w:val="center"/>
        <w:rPr>
          <w:lang w:val="en-GB"/>
        </w:rPr>
      </w:pPr>
      <w:r>
        <w:rPr>
          <w:rFonts w:ascii="Arial" w:hAnsi="Arial" w:cs="Arial" w:eastAsiaTheme="majorEastAsia"/>
          <w:b/>
          <w:bCs/>
          <w:sz w:val="44"/>
          <w:szCs w:val="44"/>
          <w:lang w:val="en-GB"/>
        </w:rPr>
        <w:t>Support</w:t>
      </w:r>
      <w:r>
        <w:rPr>
          <w:rFonts w:hint="default" w:ascii="Arial" w:hAnsi="Arial" w:cs="Arial" w:eastAsiaTheme="majorEastAsia"/>
          <w:b/>
          <w:bCs/>
          <w:sz w:val="44"/>
          <w:szCs w:val="44"/>
          <w:lang w:val="en-US"/>
        </w:rPr>
        <w:t>ing</w:t>
      </w:r>
      <w:r>
        <w:rPr>
          <w:rFonts w:ascii="Arial" w:hAnsi="Arial" w:cs="Arial" w:eastAsiaTheme="majorEastAsia"/>
          <w:b/>
          <w:bCs/>
          <w:sz w:val="44"/>
          <w:szCs w:val="44"/>
          <w:lang w:val="en-GB"/>
        </w:rPr>
        <w:t xml:space="preserve"> Moldovan and Ukrainian transnational families in the EU ("CASTLE")</w:t>
      </w:r>
    </w:p>
    <w:p>
      <w:pPr>
        <w:rPr>
          <w:lang w:val="en-GB"/>
        </w:rPr>
      </w:pPr>
    </w:p>
    <w:p>
      <w:pPr>
        <w:rPr>
          <w:lang w:val="en-GB"/>
        </w:rPr>
      </w:pPr>
      <w:r>
        <w:rPr>
          <w:lang w:val="en-GB"/>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74930</wp:posOffset>
                </wp:positionV>
                <wp:extent cx="1900555" cy="353060"/>
                <wp:effectExtent l="0" t="0" r="4445" b="9525"/>
                <wp:wrapNone/>
                <wp:docPr id="11" name="Text Box 11"/>
                <wp:cNvGraphicFramePr/>
                <a:graphic xmlns:a="http://schemas.openxmlformats.org/drawingml/2006/main">
                  <a:graphicData uri="http://schemas.microsoft.com/office/word/2010/wordprocessingShape">
                    <wps:wsp>
                      <wps:cNvSpPr txBox="1"/>
                      <wps:spPr>
                        <a:xfrm>
                          <a:off x="0" y="0"/>
                          <a:ext cx="1900800" cy="352800"/>
                        </a:xfrm>
                        <a:prstGeom prst="rect">
                          <a:avLst/>
                        </a:prstGeom>
                        <a:solidFill>
                          <a:schemeClr val="accent4">
                            <a:lumMod val="40000"/>
                            <a:lumOff val="60000"/>
                          </a:schemeClr>
                        </a:solidFill>
                        <a:ln w="6350">
                          <a:noFill/>
                        </a:ln>
                      </wps:spPr>
                      <wps:txbx>
                        <w:txbxContent>
                          <w:p>
                            <w:pPr>
                              <w:rPr>
                                <w:rFonts w:ascii="Times New Roman" w:hAnsi="Times New Roman" w:cs="Times New Roman"/>
                                <w:b/>
                                <w:bCs/>
                                <w:sz w:val="32"/>
                                <w:szCs w:val="32"/>
                              </w:rPr>
                            </w:pPr>
                            <w:r>
                              <w:rPr>
                                <w:rFonts w:ascii="Times New Roman" w:hAnsi="Times New Roman" w:cs="Times New Roman"/>
                                <w:b/>
                                <w:bCs/>
                                <w:sz w:val="32"/>
                                <w:szCs w:val="32"/>
                              </w:rPr>
                              <w:t>Policy Brief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5.9pt;height:27.8pt;width:149.65pt;mso-position-horizontal:right;mso-position-horizontal-relative:page;z-index:251660288;mso-width-relative:page;mso-height-relative:page;" fillcolor="#FFE699 [1303]" filled="t" stroked="f" coordsize="21600,21600" o:gfxdata="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UIrZNQAAAAG&#10;AQAADwAAAAAAAAABACAAAAAiAAAAZHJzL2Rvd25yZXYueG1sUEsBAhQAFAAAAAgAh07iQFd6Z2BZ&#10;AgAAyQQAAA4AAAAAAAAAAQAgAAAAIwEAAGRycy9lMm9Eb2MueG1sUEsFBgAAAAAGAAYAWQEAAO4F&#10;AAAAAA==&#10;">
                <v:fill on="t" focussize="0,0"/>
                <v:stroke on="f" weight="0.5pt"/>
                <v:imagedata o:title=""/>
                <o:lock v:ext="edit" aspectratio="f"/>
                <v:textbox>
                  <w:txbxContent>
                    <w:p>
                      <w:pPr>
                        <w:rPr>
                          <w:rFonts w:ascii="Times New Roman" w:hAnsi="Times New Roman" w:cs="Times New Roman"/>
                          <w:b/>
                          <w:bCs/>
                          <w:sz w:val="32"/>
                          <w:szCs w:val="32"/>
                        </w:rPr>
                      </w:pPr>
                      <w:r>
                        <w:rPr>
                          <w:rFonts w:ascii="Times New Roman" w:hAnsi="Times New Roman" w:cs="Times New Roman"/>
                          <w:b/>
                          <w:bCs/>
                          <w:sz w:val="32"/>
                          <w:szCs w:val="32"/>
                        </w:rPr>
                        <w:t>Policy Brief 2</w:t>
                      </w:r>
                    </w:p>
                  </w:txbxContent>
                </v:textbox>
              </v:shape>
            </w:pict>
          </mc:Fallback>
        </mc:AlternateContent>
      </w:r>
    </w:p>
    <w:p>
      <w:pPr>
        <w:rPr>
          <w:lang w:val="en-GB"/>
        </w:rPr>
      </w:pPr>
      <w:r>
        <w:rPr>
          <w:lang w:val="en-GB"/>
        </w:rPr>
        <w:drawing>
          <wp:anchor distT="0" distB="0" distL="114300" distR="114300" simplePos="0" relativeHeight="251668480" behindDoc="0" locked="0" layoutInCell="1" allowOverlap="1">
            <wp:simplePos x="0" y="0"/>
            <wp:positionH relativeFrom="column">
              <wp:posOffset>1264285</wp:posOffset>
            </wp:positionH>
            <wp:positionV relativeFrom="paragraph">
              <wp:posOffset>6985</wp:posOffset>
            </wp:positionV>
            <wp:extent cx="2794635" cy="920750"/>
            <wp:effectExtent l="0" t="0" r="9525" b="8890"/>
            <wp:wrapThrough wrapText="bothSides">
              <wp:wrapPolygon>
                <wp:start x="0" y="0"/>
                <wp:lineTo x="0" y="21094"/>
                <wp:lineTo x="589" y="21094"/>
                <wp:lineTo x="4829" y="21094"/>
                <wp:lineTo x="21438" y="21094"/>
                <wp:lineTo x="21438" y="2503"/>
                <wp:lineTo x="57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94635" cy="920750"/>
                    </a:xfrm>
                    <a:prstGeom prst="rect">
                      <a:avLst/>
                    </a:prstGeom>
                    <a:noFill/>
                    <a:ln>
                      <a:noFill/>
                    </a:ln>
                  </pic:spPr>
                </pic:pic>
              </a:graphicData>
            </a:graphic>
          </wp:anchor>
        </w:drawing>
      </w: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b/>
          <w:bCs/>
          <w:shd w:val="clear" w:color="auto" w:fill="FFFFFF"/>
          <w:lang w:val="en-GB"/>
        </w:rPr>
      </w:pPr>
    </w:p>
    <w:p>
      <w:pPr>
        <w:pStyle w:val="2"/>
        <w:jc w:val="center"/>
        <w:rPr>
          <w:b/>
          <w:bCs/>
          <w:shd w:val="clear" w:color="auto" w:fill="FFFFFF"/>
          <w:lang w:val="en-GB"/>
        </w:rPr>
      </w:pPr>
    </w:p>
    <w:p>
      <w:pPr>
        <w:ind w:firstLine="900" w:firstLineChars="250"/>
        <w:jc w:val="center"/>
        <w:rPr>
          <w:rFonts w:ascii="Times New Roman" w:hAnsi="Times New Roman" w:cs="Times New Roman" w:eastAsiaTheme="minorEastAsia"/>
          <w:b/>
          <w:bCs/>
          <w:sz w:val="36"/>
          <w:szCs w:val="36"/>
          <w:lang w:val="en-GB"/>
        </w:rPr>
      </w:pPr>
      <w:r>
        <w:rPr>
          <w:rFonts w:ascii="Times New Roman" w:hAnsi="Times New Roman" w:cs="Times New Roman"/>
          <w:b/>
          <w:bCs/>
          <w:sz w:val="36"/>
          <w:szCs w:val="36"/>
          <w:lang w:val="en-GB"/>
        </w:rPr>
        <w:t>Policy Brief 2 - CASTLE</w:t>
      </w:r>
    </w:p>
    <w:p>
      <w:pPr>
        <w:ind w:firstLine="600" w:firstLineChars="250"/>
        <w:jc w:val="both"/>
        <w:rPr>
          <w:rFonts w:ascii="Times New Roman" w:hAnsi="Times New Roman" w:cs="Times New Roman"/>
          <w:b/>
          <w:bCs/>
          <w:sz w:val="24"/>
          <w:szCs w:val="24"/>
          <w:u w:val="single"/>
          <w:lang w:val="en-GB"/>
        </w:rPr>
      </w:pPr>
    </w:p>
    <w:p>
      <w:pPr>
        <w:ind w:firstLine="600" w:firstLineChars="250"/>
        <w:jc w:val="right"/>
        <w:rPr>
          <w:rFonts w:ascii="Times New Roman" w:hAnsi="Times New Roman"/>
          <w:b/>
          <w:bCs/>
          <w:i/>
          <w:iCs/>
          <w:sz w:val="24"/>
          <w:szCs w:val="24"/>
          <w:lang w:val="en-GB"/>
        </w:rPr>
      </w:pPr>
      <w:r>
        <w:rPr>
          <w:rFonts w:ascii="Times New Roman" w:hAnsi="Times New Roman"/>
          <w:b/>
          <w:bCs/>
          <w:i/>
          <w:iCs/>
          <w:sz w:val="24"/>
          <w:szCs w:val="24"/>
          <w:lang w:val="en-GB"/>
        </w:rPr>
        <w:t>Viorela Ducu, Áron Telegdi-Csetri, Mihaela Hărăguș</w:t>
      </w:r>
      <w:r>
        <w:rPr>
          <w:rStyle w:val="10"/>
          <w:rFonts w:ascii="Times New Roman" w:hAnsi="Times New Roman"/>
          <w:b/>
          <w:bCs/>
          <w:i/>
          <w:iCs/>
          <w:sz w:val="24"/>
          <w:szCs w:val="24"/>
          <w:lang w:val="en-GB"/>
        </w:rPr>
        <w:footnoteReference w:id="0"/>
      </w:r>
    </w:p>
    <w:p>
      <w:pPr>
        <w:ind w:firstLine="600" w:firstLineChars="250"/>
        <w:jc w:val="both"/>
        <w:rPr>
          <w:rFonts w:ascii="Times New Roman" w:hAnsi="Times New Roman"/>
          <w:b/>
          <w:bCs/>
          <w:i/>
          <w:iCs/>
          <w:sz w:val="24"/>
          <w:szCs w:val="24"/>
          <w:lang w:val="en-GB"/>
        </w:rPr>
      </w:pPr>
    </w:p>
    <w:p>
      <w:pPr>
        <w:ind w:firstLine="600" w:firstLineChars="250"/>
        <w:jc w:val="both"/>
        <w:rPr>
          <w:rFonts w:ascii="Times New Roman" w:hAnsi="Times New Roman"/>
          <w:b/>
          <w:bCs/>
          <w:i/>
          <w:iCs/>
          <w:sz w:val="24"/>
          <w:szCs w:val="24"/>
          <w:lang w:val="en-GB"/>
        </w:rPr>
      </w:pPr>
    </w:p>
    <w:p>
      <w:pPr>
        <w:ind w:firstLine="600" w:firstLineChars="250"/>
        <w:jc w:val="both"/>
        <w:rPr>
          <w:rFonts w:ascii="Times New Roman" w:hAnsi="Times New Roman"/>
          <w:b/>
          <w:bCs/>
          <w:i/>
          <w:iCs/>
          <w:sz w:val="24"/>
          <w:szCs w:val="24"/>
          <w:u w:val="single"/>
          <w:lang w:val="en-GB"/>
        </w:rPr>
      </w:pPr>
      <w:r>
        <w:rPr>
          <w:rFonts w:ascii="Times New Roman" w:hAnsi="Times New Roman"/>
          <w:b/>
          <w:bCs/>
          <w:i/>
          <w:iCs/>
          <w:sz w:val="24"/>
          <w:szCs w:val="24"/>
          <w:u w:val="single"/>
          <w:lang w:val="en-GB"/>
        </w:rPr>
        <w:t>Introduction</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"CASTLE - Children left behind by labour migration: supporting Moldovan and Ukrainian transnational families in the EU" is an action-project that aims to support the Republic of Moldova and Ukraine in improving their child protection frameworks and their migration and mobility policies, with a focus on the social and legal impact of labour migration on transnational families.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Transnational families are a functional </w:t>
      </w:r>
      <w:r>
        <w:rPr>
          <w:rFonts w:hint="default" w:ascii="Times New Roman" w:hAnsi="Times New Roman"/>
          <w:b w:val="0"/>
          <w:bCs w:val="0"/>
          <w:i w:val="0"/>
          <w:iCs w:val="0"/>
          <w:sz w:val="24"/>
          <w:szCs w:val="24"/>
          <w:u w:val="single"/>
          <w:lang w:val="en-GB"/>
        </w:rPr>
        <w:t xml:space="preserve">category of families, with its own specificities and rights entitlements. Therefore, they need to be inquired, empowered, their life-world observed and addressed from a multitude of perspectives and in a diversity of intersections, such as: minority status of various kinds including ethnic and non-regular families, children as a vulnerable group, trafficking, divorce, gender, poverty etc.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The Research Centre for the Study of Transnational Families set up under the project within the Babeș-Bolyai University of Romania aims to promote research and to institutionalise the study of transnational families, which is currently not only rare and dispersed, but too often it is not solution-oriented and rather disconnected from the policy-making field, especially in relation to labour migration.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By creating and disseminating information, public policy recommendations and best practices that promote safe and ethical labour migration schemes aligned with child protection standards, this action directly supports Moldova and Ukraine as well as Romania and other Member States as destination countries for labour originating in these countries.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The CASTLE project is implemented by Babeș-Bolyai University of Cluj, in partnership with Terre des hommes Foundation Romania, Terre des hommes Moldova, Terre des hommes Ukraine, the Ukrainian Institute for Social Research after Oleksandr Yaremenko and the Academy of Economic Studies of Moldova.</w:t>
      </w:r>
    </w:p>
    <w:p>
      <w:pPr>
        <w:jc w:val="both"/>
        <w:rPr>
          <w:rFonts w:ascii="Times New Roman" w:hAnsi="Times New Roman"/>
          <w:b/>
          <w:bCs/>
          <w:i/>
          <w:iCs/>
          <w:sz w:val="24"/>
          <w:szCs w:val="24"/>
          <w:lang w:val="en-GB"/>
        </w:rPr>
      </w:pPr>
    </w:p>
    <w:p>
      <w:pPr>
        <w:jc w:val="both"/>
        <w:rPr>
          <w:rFonts w:ascii="Times New Roman" w:hAnsi="Times New Roman"/>
          <w:b/>
          <w:bCs/>
          <w:i/>
          <w:iCs/>
          <w:sz w:val="24"/>
          <w:szCs w:val="24"/>
          <w:lang w:val="en-GB"/>
        </w:rPr>
      </w:pPr>
    </w:p>
    <w:p>
      <w:pPr>
        <w:ind w:firstLine="600" w:firstLineChars="250"/>
        <w:jc w:val="both"/>
        <w:rPr>
          <w:rFonts w:hint="default" w:ascii="Times New Roman" w:hAnsi="Times New Roman"/>
          <w:b/>
          <w:bCs/>
          <w:sz w:val="24"/>
          <w:szCs w:val="24"/>
          <w:u w:val="single"/>
          <w:lang w:val="en-US"/>
        </w:rPr>
      </w:pPr>
      <w:r>
        <w:rPr>
          <w:rFonts w:ascii="Times New Roman" w:hAnsi="Times New Roman"/>
          <w:b/>
          <w:bCs/>
          <w:sz w:val="24"/>
          <w:szCs w:val="24"/>
          <w:u w:val="single"/>
          <w:lang w:val="en-GB"/>
        </w:rPr>
        <w:t>Hybrid Transnational Social Protection (HTSP)</w:t>
      </w:r>
      <w:r>
        <w:rPr>
          <w:rFonts w:hint="default" w:ascii="Times New Roman" w:hAnsi="Times New Roman"/>
          <w:b/>
          <w:bCs/>
          <w:sz w:val="24"/>
          <w:szCs w:val="24"/>
          <w:u w:val="single"/>
          <w:lang w:val="en-US"/>
        </w:rPr>
        <w:t xml:space="preserve"> </w:t>
      </w:r>
      <w:r>
        <w:rPr>
          <w:rFonts w:ascii="Times New Roman" w:hAnsi="Times New Roman"/>
          <w:b/>
          <w:bCs/>
          <w:sz w:val="24"/>
          <w:szCs w:val="24"/>
          <w:u w:val="single"/>
          <w:lang w:val="en-GB"/>
        </w:rPr>
        <w:t>- framework</w:t>
      </w:r>
      <w:r>
        <w:rPr>
          <w:rFonts w:hint="default" w:ascii="Times New Roman" w:hAnsi="Times New Roman"/>
          <w:b/>
          <w:bCs/>
          <w:sz w:val="24"/>
          <w:szCs w:val="24"/>
          <w:u w:val="single"/>
          <w:lang w:val="en-US"/>
        </w:rPr>
        <w:t xml:space="preserve"> of </w:t>
      </w:r>
      <w:r>
        <w:rPr>
          <w:rFonts w:ascii="Times New Roman" w:hAnsi="Times New Roman"/>
          <w:b/>
          <w:bCs/>
          <w:sz w:val="24"/>
          <w:szCs w:val="24"/>
          <w:u w:val="single"/>
          <w:lang w:val="en-GB"/>
        </w:rPr>
        <w:t xml:space="preserve">analysis </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The main objective of the CASTLE project is to support transnational families with children left behind as a result of the labour migration of one or both parents, with a view to providing social protection in this context. After </w:t>
      </w:r>
      <w:r>
        <w:rPr>
          <w:rFonts w:hint="default" w:ascii="Times New Roman" w:hAnsi="Times New Roman"/>
          <w:sz w:val="24"/>
          <w:szCs w:val="24"/>
          <w:lang w:val="en-US"/>
        </w:rPr>
        <w:t xml:space="preserve">a </w:t>
      </w:r>
      <w:r>
        <w:rPr>
          <w:rFonts w:ascii="Times New Roman" w:hAnsi="Times New Roman"/>
          <w:sz w:val="24"/>
          <w:szCs w:val="24"/>
          <w:lang w:val="en-GB"/>
        </w:rPr>
        <w:t xml:space="preserve">general </w:t>
      </w:r>
      <w:r>
        <w:rPr>
          <w:rFonts w:hint="default" w:ascii="Times New Roman" w:hAnsi="Times New Roman"/>
          <w:sz w:val="24"/>
          <w:szCs w:val="24"/>
          <w:lang w:val="hu-HU"/>
        </w:rPr>
        <w:t xml:space="preserve">picture </w:t>
      </w:r>
      <w:r>
        <w:rPr>
          <w:rFonts w:ascii="Times New Roman" w:hAnsi="Times New Roman"/>
          <w:sz w:val="24"/>
          <w:szCs w:val="24"/>
          <w:lang w:val="en-GB"/>
        </w:rPr>
        <w:t xml:space="preserve">of the situation of these families </w:t>
      </w:r>
      <w:r>
        <w:fldChar w:fldCharType="begin"/>
      </w:r>
      <w:r>
        <w:instrText xml:space="preserve"> HYPERLINK "https://fspac.ubbcluj.ro/castleaction/application/files/3916/5693/9657/CASTLE_Policy_brief.pdf" </w:instrText>
      </w:r>
      <w:r>
        <w:fldChar w:fldCharType="separate"/>
      </w:r>
      <w:r>
        <w:rPr>
          <w:rStyle w:val="13"/>
          <w:rFonts w:ascii="Times New Roman" w:hAnsi="Times New Roman"/>
          <w:sz w:val="24"/>
          <w:szCs w:val="24"/>
          <w:lang w:val="en-GB"/>
        </w:rPr>
        <w:t xml:space="preserve">presented </w:t>
      </w:r>
      <w:r>
        <w:rPr>
          <w:rStyle w:val="13"/>
          <w:rFonts w:ascii="Times New Roman" w:hAnsi="Times New Roman"/>
          <w:sz w:val="24"/>
          <w:szCs w:val="24"/>
          <w:lang w:val="en-GB"/>
        </w:rPr>
        <w:fldChar w:fldCharType="end"/>
      </w:r>
      <w:r>
        <w:rPr>
          <w:rStyle w:val="13"/>
          <w:rFonts w:hint="default" w:ascii="Times New Roman" w:hAnsi="Times New Roman"/>
          <w:sz w:val="24"/>
          <w:szCs w:val="24"/>
          <w:lang w:val="en-US"/>
        </w:rPr>
        <w:t>previously</w:t>
      </w:r>
      <w:r>
        <w:rPr>
          <w:rFonts w:ascii="Times New Roman" w:hAnsi="Times New Roman"/>
          <w:sz w:val="24"/>
          <w:szCs w:val="24"/>
          <w:lang w:val="en-GB"/>
        </w:rPr>
        <w:t xml:space="preserve">, in the current phase of the </w:t>
      </w:r>
      <w:r>
        <w:rPr>
          <w:rFonts w:ascii="Times New Roman" w:hAnsi="Times New Roman"/>
          <w:sz w:val="24"/>
          <w:szCs w:val="24"/>
          <w:lang w:val="en-US"/>
        </w:rPr>
        <w:t>action research</w:t>
      </w:r>
      <w:r>
        <w:rPr>
          <w:rFonts w:ascii="Times New Roman" w:hAnsi="Times New Roman"/>
          <w:sz w:val="24"/>
          <w:szCs w:val="24"/>
          <w:lang w:val="en-GB"/>
        </w:rPr>
        <w:t xml:space="preserve"> we are addressing th</w:t>
      </w:r>
      <w:r>
        <w:rPr>
          <w:rFonts w:hint="default" w:ascii="Times New Roman" w:hAnsi="Times New Roman"/>
          <w:sz w:val="24"/>
          <w:szCs w:val="24"/>
          <w:lang w:val="hu-HU"/>
        </w:rPr>
        <w:t xml:space="preserve">e issue </w:t>
      </w:r>
      <w:r>
        <w:rPr>
          <w:rFonts w:ascii="Times New Roman" w:hAnsi="Times New Roman"/>
          <w:sz w:val="24"/>
          <w:szCs w:val="24"/>
          <w:lang w:val="en-GB"/>
        </w:rPr>
        <w:t>from the specific standpoint of the social protection available to them.</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With the recent increase in migration, the scope of </w:t>
      </w:r>
      <w:r>
        <w:rPr>
          <w:rFonts w:hint="default" w:ascii="Times New Roman" w:hAnsi="Times New Roman"/>
          <w:sz w:val="24"/>
          <w:szCs w:val="24"/>
          <w:lang w:val="hu-HU"/>
        </w:rPr>
        <w:t>application of</w:t>
      </w:r>
      <w:r>
        <w:rPr>
          <w:rFonts w:ascii="Times New Roman" w:hAnsi="Times New Roman"/>
          <w:sz w:val="24"/>
          <w:szCs w:val="24"/>
          <w:lang w:val="en-GB"/>
        </w:rPr>
        <w:t xml:space="preserve"> social protection has also expanded; the social protection for the citizens of states has extended across borders as well as to non-citizens living within the borders. However, research on social protection has remained within a national </w:t>
      </w:r>
      <w:r>
        <w:rPr>
          <w:rFonts w:hint="default" w:ascii="Times New Roman" w:hAnsi="Times New Roman"/>
          <w:sz w:val="24"/>
          <w:szCs w:val="24"/>
          <w:lang w:val="hu-HU"/>
        </w:rPr>
        <w:t>plane</w:t>
      </w:r>
      <w:r>
        <w:rPr>
          <w:rFonts w:ascii="Times New Roman" w:hAnsi="Times New Roman"/>
          <w:sz w:val="24"/>
          <w:szCs w:val="24"/>
          <w:lang w:val="en-GB"/>
        </w:rPr>
        <w:t>, focusing in our context on the migrant and the role of the host state as formal and portable protection (Avato et al. 2010), while informal support networks are in fact an important complement to this. (Avato et al. 2010). Moreover, the market</w:t>
      </w:r>
      <w:r>
        <w:rPr>
          <w:rFonts w:hint="default" w:ascii="Times New Roman" w:hAnsi="Times New Roman"/>
          <w:sz w:val="24"/>
          <w:szCs w:val="24"/>
          <w:lang w:val="hu-HU"/>
        </w:rPr>
        <w:t xml:space="preserve"> of services</w:t>
      </w:r>
      <w:r>
        <w:rPr>
          <w:rFonts w:ascii="Times New Roman" w:hAnsi="Times New Roman"/>
          <w:sz w:val="24"/>
          <w:szCs w:val="24"/>
          <w:lang w:val="en-GB"/>
        </w:rPr>
        <w:t xml:space="preserve"> and the third sector (NGOs, churches, etc.) also constitute important sources of protection in the given context.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Thus, the benefits accessed by individuals in this context can be seen as a "resource environment" of social protection, provided by various relevant actors: the state, the market, third sector actors and personal networks (Levitt et al. 2017) and accessed by individuals as agents in a syncretic, </w:t>
      </w:r>
      <w:r>
        <w:rPr>
          <w:rFonts w:hint="default" w:ascii="Times New Roman" w:hAnsi="Times New Roman"/>
          <w:sz w:val="24"/>
          <w:szCs w:val="24"/>
          <w:lang w:val="hu-HU"/>
        </w:rPr>
        <w:t xml:space="preserve">i.e. </w:t>
      </w:r>
      <w:r>
        <w:rPr>
          <w:rFonts w:ascii="Times New Roman" w:hAnsi="Times New Roman"/>
          <w:sz w:val="24"/>
          <w:szCs w:val="24"/>
          <w:lang w:val="en-GB"/>
        </w:rPr>
        <w:t>"hybrid" way depending on their own needs and capabilities</w:t>
      </w:r>
      <w:r>
        <w:rPr>
          <w:rFonts w:hint="default" w:ascii="Times New Roman" w:hAnsi="Times New Roman"/>
          <w:sz w:val="24"/>
          <w:szCs w:val="24"/>
          <w:lang w:val="hu-HU"/>
        </w:rPr>
        <w:t xml:space="preserve"> and</w:t>
      </w:r>
      <w:r>
        <w:rPr>
          <w:rFonts w:ascii="Times New Roman" w:hAnsi="Times New Roman"/>
          <w:sz w:val="24"/>
          <w:szCs w:val="24"/>
          <w:lang w:val="en-GB"/>
        </w:rPr>
        <w:t xml:space="preserve"> on the availability of resources</w:t>
      </w:r>
      <w:r>
        <w:rPr>
          <w:rFonts w:hint="default" w:ascii="Times New Roman" w:hAnsi="Times New Roman"/>
          <w:sz w:val="24"/>
          <w:szCs w:val="24"/>
          <w:lang w:val="hu-HU"/>
        </w:rPr>
        <w:t>,</w:t>
      </w:r>
      <w:r>
        <w:rPr>
          <w:rFonts w:ascii="Times New Roman" w:hAnsi="Times New Roman"/>
          <w:sz w:val="24"/>
          <w:szCs w:val="24"/>
          <w:lang w:val="en-GB"/>
        </w:rPr>
        <w:t xml:space="preserve"> respectively. More recently, the totality of these resources in a transnational context has been termed by Levitt et al. (2023) "hybrid transnational social protection" (HTSP), structured according to four fundamental "logics" as follows:</w:t>
      </w: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xml:space="preserve">- the logic of citizenship </w:t>
      </w:r>
      <w:r>
        <w:rPr>
          <w:rFonts w:ascii="Times New Roman" w:hAnsi="Times New Roman"/>
          <w:sz w:val="24"/>
          <w:szCs w:val="24"/>
          <w:lang w:val="en-GB"/>
        </w:rPr>
        <w:t>and social protection as a constitutional right. While the right to the social protection system of the nation-state is based on membership, this has recently been extended across borders through various diaspora policies, EU regulations and bilateral agreements. However, third-country nationals (without bilateral and non-EU agreements) remain largely uncovered by the social provisions of the state (Faist and Bilecen 2015). The actors providing this type of protection are the public institutions at home and abroad: the public administration, consulates and embassies (Levitt et al. 2023: 27-28).</w:t>
      </w: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xml:space="preserve">- the logic of humanity </w:t>
      </w:r>
      <w:r>
        <w:rPr>
          <w:rFonts w:ascii="Times New Roman" w:hAnsi="Times New Roman"/>
          <w:sz w:val="24"/>
          <w:szCs w:val="24"/>
          <w:lang w:val="en-GB"/>
        </w:rPr>
        <w:t xml:space="preserve">and social protection based on human rights, as stipulated in conventions such as the Universal Declaration of Human Rights. The power of this logic is rather symbolic, </w:t>
      </w:r>
      <w:r>
        <w:rPr>
          <w:rFonts w:hint="default" w:ascii="Times New Roman" w:hAnsi="Times New Roman"/>
          <w:sz w:val="24"/>
          <w:szCs w:val="24"/>
          <w:lang w:val="hu-HU"/>
        </w:rPr>
        <w:t xml:space="preserve">generally </w:t>
      </w:r>
      <w:r>
        <w:rPr>
          <w:rFonts w:ascii="Times New Roman" w:hAnsi="Times New Roman"/>
          <w:sz w:val="24"/>
          <w:szCs w:val="24"/>
          <w:lang w:val="en-GB"/>
        </w:rPr>
        <w:t xml:space="preserve">not translated into meaningful sources of protection (Levitt et al. 2023: 23). States prefer to provide social protection on the basis of migrants' employment status rather than personhood, emphasising the role of the market in regional economic integration projects (e.g. the European Union) over human rights (Paul 2017), and therefore for some migrants social benefits become restrictive. The providers of this type of protection are state institutions, intergovernmental organisations, the transnational civil society. </w:t>
      </w: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xml:space="preserve">- the logic of the market </w:t>
      </w:r>
      <w:r>
        <w:rPr>
          <w:rFonts w:ascii="Times New Roman" w:hAnsi="Times New Roman"/>
          <w:sz w:val="24"/>
          <w:szCs w:val="24"/>
          <w:lang w:val="en-GB"/>
        </w:rPr>
        <w:t xml:space="preserve">and social protection services as goods. With the retrenchment of the welfare state and the rise of neoliberal economic policies in many countries, the market has taken on a more important role in the provision of social services. </w:t>
      </w:r>
      <w:r>
        <w:rPr>
          <w:rFonts w:hint="default" w:ascii="Times New Roman" w:hAnsi="Times New Roman"/>
          <w:sz w:val="24"/>
          <w:szCs w:val="24"/>
          <w:lang w:val="hu-HU"/>
        </w:rPr>
        <w:t xml:space="preserve">Service </w:t>
      </w:r>
      <w:r>
        <w:rPr>
          <w:rFonts w:ascii="Times New Roman" w:hAnsi="Times New Roman"/>
          <w:sz w:val="24"/>
          <w:szCs w:val="24"/>
          <w:lang w:val="en-GB"/>
        </w:rPr>
        <w:t xml:space="preserve">providers </w:t>
      </w:r>
      <w:r>
        <w:rPr>
          <w:rFonts w:hint="default" w:ascii="Times New Roman" w:hAnsi="Times New Roman"/>
          <w:sz w:val="24"/>
          <w:szCs w:val="24"/>
          <w:lang w:val="hu-HU"/>
        </w:rPr>
        <w:t xml:space="preserve">for </w:t>
      </w:r>
      <w:r>
        <w:rPr>
          <w:rFonts w:ascii="Times New Roman" w:hAnsi="Times New Roman"/>
          <w:sz w:val="24"/>
          <w:szCs w:val="24"/>
          <w:lang w:val="en-GB"/>
        </w:rPr>
        <w:t xml:space="preserve">immigrants, private firms or state institutions </w:t>
      </w:r>
      <w:r>
        <w:rPr>
          <w:rFonts w:hint="default" w:ascii="Times New Roman" w:hAnsi="Times New Roman"/>
          <w:sz w:val="24"/>
          <w:szCs w:val="24"/>
          <w:lang w:val="hu-HU"/>
        </w:rPr>
        <w:t xml:space="preserve">functioning </w:t>
      </w:r>
      <w:r>
        <w:rPr>
          <w:rFonts w:ascii="Times New Roman" w:hAnsi="Times New Roman"/>
          <w:sz w:val="24"/>
          <w:szCs w:val="24"/>
          <w:lang w:val="en-GB"/>
        </w:rPr>
        <w:t xml:space="preserve">as market actors provide such services, </w:t>
      </w:r>
      <w:r>
        <w:rPr>
          <w:rFonts w:hint="default" w:ascii="Times New Roman" w:hAnsi="Times New Roman"/>
          <w:sz w:val="24"/>
          <w:szCs w:val="24"/>
          <w:lang w:val="hu-HU"/>
        </w:rPr>
        <w:t xml:space="preserve">while </w:t>
      </w:r>
      <w:r>
        <w:rPr>
          <w:rFonts w:ascii="Times New Roman" w:hAnsi="Times New Roman"/>
          <w:sz w:val="24"/>
          <w:szCs w:val="24"/>
          <w:lang w:val="en-GB"/>
        </w:rPr>
        <w:t>access depends on the ability to pay, for both citizens and non-citizens.</w:t>
      </w: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xml:space="preserve">- the logic of community </w:t>
      </w:r>
      <w:r>
        <w:rPr>
          <w:rFonts w:ascii="Times New Roman" w:hAnsi="Times New Roman"/>
          <w:sz w:val="24"/>
          <w:szCs w:val="24"/>
          <w:lang w:val="en-GB"/>
        </w:rPr>
        <w:t>and social protection as community. Providers are informal networks, family and friends, NGOs, churches or religious organisations, both in the country of origin and in the destination country. In many cases, this logic fills the gaps left by the others and is very significant in the lives of migrants and transnational families.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Within these logics, the resource environment is formed by combining (hybridizing) "what is actually available to an individual in his or her protective toolkit, as opposed to what is theoretically or legally available" (Levitt et al. 2023: 30). In this environment, actors accessing resources should not be seen as mere recipients, but as agents actively seeking, requesting, obtaining and sharing resources.</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b/>
          <w:bCs/>
          <w:sz w:val="24"/>
          <w:szCs w:val="24"/>
          <w:u w:val="single"/>
          <w:lang w:val="en-GB"/>
        </w:rPr>
      </w:pPr>
      <w:r>
        <w:rPr>
          <w:rFonts w:hint="default" w:ascii="Times New Roman" w:hAnsi="Times New Roman"/>
          <w:b/>
          <w:bCs/>
          <w:sz w:val="24"/>
          <w:szCs w:val="24"/>
          <w:u w:val="single"/>
          <w:lang w:val="hu-HU"/>
        </w:rPr>
        <w:t>The f</w:t>
      </w:r>
      <w:r>
        <w:rPr>
          <w:rFonts w:ascii="Times New Roman" w:hAnsi="Times New Roman"/>
          <w:b/>
          <w:bCs/>
          <w:sz w:val="24"/>
          <w:szCs w:val="24"/>
          <w:u w:val="single"/>
          <w:lang w:val="en-GB"/>
        </w:rPr>
        <w:t>amily as a unit</w:t>
      </w:r>
    </w:p>
    <w:p>
      <w:pPr>
        <w:pStyle w:val="14"/>
        <w:spacing w:line="22" w:lineRule="atLeast"/>
        <w:ind w:firstLine="600" w:firstLineChars="250"/>
        <w:jc w:val="both"/>
        <w:rPr>
          <w:color w:val="000000"/>
          <w:lang w:val="en-GB"/>
        </w:rPr>
      </w:pPr>
      <w:r>
        <w:rPr>
          <w:color w:val="000000"/>
          <w:lang w:val="en-GB"/>
        </w:rPr>
        <w:t xml:space="preserve">Families decide, communicate, share practices including care and support, access social protection resources and suffer or thrive together in a relational community, even across borders. That is why not individuals, but ultimately families are both </w:t>
      </w:r>
      <w:r>
        <w:rPr>
          <w:rFonts w:hint="default"/>
          <w:color w:val="000000"/>
          <w:lang w:val="hu-HU"/>
        </w:rPr>
        <w:t xml:space="preserve">the </w:t>
      </w:r>
      <w:r>
        <w:rPr>
          <w:color w:val="000000"/>
          <w:lang w:val="en-GB"/>
        </w:rPr>
        <w:t xml:space="preserve">beneficiaries and agents of HTSP, especially </w:t>
      </w:r>
      <w:r>
        <w:rPr>
          <w:rFonts w:hint="default"/>
          <w:color w:val="000000"/>
          <w:lang w:val="hu-HU"/>
        </w:rPr>
        <w:t>on behalf</w:t>
      </w:r>
      <w:r>
        <w:rPr>
          <w:color w:val="000000"/>
          <w:lang w:val="en-GB"/>
        </w:rPr>
        <w:t xml:space="preserve"> of dependent family members such as children. Resources may be available in destination countries, countries of origin or even third countries, but they are accessed simultaneously by members for a better life for the whole family. </w:t>
      </w:r>
    </w:p>
    <w:p>
      <w:pPr>
        <w:pStyle w:val="14"/>
        <w:spacing w:line="22" w:lineRule="atLeast"/>
        <w:ind w:firstLine="600" w:firstLineChars="250"/>
        <w:jc w:val="both"/>
        <w:rPr>
          <w:color w:val="000000"/>
          <w:lang w:val="en-GB"/>
        </w:rPr>
      </w:pPr>
      <w:r>
        <w:rPr>
          <w:color w:val="000000"/>
          <w:lang w:val="en-GB"/>
        </w:rPr>
        <w:t xml:space="preserve">Various changes in state protection policies have led to an emphasis on personal responsibility and, consequently, on the importance of the family as the main safety net and provider of welfare, which is a driver of migration (Baldassar et al. 2018). Migration emerges as a form of social protection (Levitt et al. 2023) or as a 'transnational resilience strategy' through which individuals 'cope with the challenges of social reproduction in the country of origin' (Kilkey and Urzi 2017: 2582) by combining resources in the destination country and the country of origin. Previous research has also shown that 'migration itself is a tool of social protection', particularly for poorer families, where remittances are used for basic needs (Avato et al. 2010: 463) and the decision to migrate is made collectively. </w:t>
      </w:r>
    </w:p>
    <w:p>
      <w:pPr>
        <w:pStyle w:val="14"/>
        <w:spacing w:line="22" w:lineRule="atLeast"/>
        <w:ind w:firstLine="600" w:firstLineChars="250"/>
        <w:jc w:val="both"/>
        <w:rPr>
          <w:color w:val="000000"/>
          <w:lang w:val="en-GB"/>
        </w:rPr>
      </w:pPr>
      <w:r>
        <w:rPr>
          <w:color w:val="000000"/>
          <w:lang w:val="en-GB"/>
        </w:rPr>
        <w:t>In the process, migrants themselves remain responsible for the welfare of their family members back home by coordinating the multiple resources at their disposal, trying to maximize the resource environment available not only for themselves but also for the family members back home (Serra Mingot and Mazzucato, 2019), where weak state support creates burdensome responsibilities for the migrant (Degavre and Merla, 2016). Even if they qualify for some form of social support, migrants are not seen as family members with caring responsibilities in their country of origin (Degavre and Merla, 2016), although the family</w:t>
      </w:r>
      <w:r>
        <w:rPr>
          <w:rFonts w:hint="default"/>
          <w:color w:val="000000"/>
          <w:lang w:val="hu-HU"/>
        </w:rPr>
        <w:t>-centered</w:t>
      </w:r>
      <w:r>
        <w:rPr>
          <w:color w:val="000000"/>
          <w:lang w:val="en-GB"/>
        </w:rPr>
        <w:t xml:space="preserve"> motivation for migration is a well-known phenomenon.</w:t>
      </w: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Conclusions</w:t>
      </w:r>
      <w:r>
        <w:rPr>
          <w:rFonts w:ascii="Times New Roman" w:hAnsi="Times New Roman"/>
          <w:sz w:val="24"/>
          <w:szCs w:val="24"/>
          <w:lang w:val="en-GB"/>
        </w:rPr>
        <w:t>:</w:t>
      </w:r>
    </w:p>
    <w:p>
      <w:pPr>
        <w:pStyle w:val="7"/>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It is important to see transnational families as active and responsible agents acting precisely to protect their children left at home. As such, we need to move away from the 'abandoned children' paradigm in relation to </w:t>
      </w:r>
      <w:r>
        <w:rPr>
          <w:rFonts w:hint="default" w:ascii="Times New Roman" w:hAnsi="Times New Roman"/>
          <w:sz w:val="24"/>
          <w:szCs w:val="24"/>
          <w:lang w:val="hu-HU"/>
        </w:rPr>
        <w:t xml:space="preserve">stay-behind </w:t>
      </w:r>
      <w:r>
        <w:rPr>
          <w:rFonts w:ascii="Times New Roman" w:hAnsi="Times New Roman"/>
          <w:sz w:val="24"/>
          <w:szCs w:val="24"/>
          <w:lang w:val="en-GB"/>
        </w:rPr>
        <w:t xml:space="preserve">children in transnational families, and move beyond the exclusive focus on the need to protect them from their own families. </w:t>
      </w:r>
    </w:p>
    <w:p>
      <w:pPr>
        <w:pStyle w:val="7"/>
        <w:ind w:firstLine="600" w:firstLineChars="250"/>
        <w:jc w:val="both"/>
        <w:rPr>
          <w:rFonts w:ascii="Times New Roman" w:hAnsi="Times New Roman"/>
          <w:sz w:val="24"/>
          <w:szCs w:val="24"/>
          <w:lang w:val="en-GB"/>
        </w:rPr>
      </w:pPr>
      <w:r>
        <w:rPr>
          <w:rFonts w:ascii="Times New Roman" w:hAnsi="Times New Roman"/>
          <w:sz w:val="24"/>
          <w:szCs w:val="24"/>
          <w:lang w:val="en-GB"/>
        </w:rPr>
        <w:t>In this spirit, the set of policies presented below aims to support these families to protect their children left behind.</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b/>
          <w:bCs/>
          <w:sz w:val="24"/>
          <w:szCs w:val="24"/>
          <w:u w:val="single"/>
          <w:lang w:val="en-GB"/>
        </w:rPr>
      </w:pPr>
      <w:r>
        <w:rPr>
          <w:rFonts w:ascii="Times New Roman" w:hAnsi="Times New Roman"/>
          <w:b/>
          <w:bCs/>
          <w:sz w:val="24"/>
          <w:szCs w:val="24"/>
          <w:u w:val="single"/>
          <w:lang w:val="en-GB"/>
        </w:rPr>
        <w:t>New perspectives for policy recommendations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Given, on the one hand, the level of mistrust, persistent stigmatisation, defensive attitudes within the society of origin and, on the other hand, the situation of immigrant families, where support </w:t>
      </w:r>
      <w:r>
        <w:rPr>
          <w:rFonts w:hint="default" w:ascii="Times New Roman" w:hAnsi="Times New Roman"/>
          <w:sz w:val="24"/>
          <w:szCs w:val="24"/>
          <w:lang w:val="hu-HU"/>
        </w:rPr>
        <w:t xml:space="preserve">elements </w:t>
      </w:r>
      <w:r>
        <w:rPr>
          <w:rFonts w:ascii="Times New Roman" w:hAnsi="Times New Roman"/>
          <w:sz w:val="24"/>
          <w:szCs w:val="24"/>
          <w:lang w:val="en-GB"/>
        </w:rPr>
        <w:t xml:space="preserve">are deeply interlinked and not reversible – being </w:t>
      </w:r>
      <w:r>
        <w:rPr>
          <w:rFonts w:hint="default" w:ascii="Times New Roman" w:hAnsi="Times New Roman"/>
          <w:sz w:val="24"/>
          <w:szCs w:val="24"/>
          <w:lang w:val="hu-HU"/>
        </w:rPr>
        <w:t xml:space="preserve">in fact factors that actively shape the </w:t>
      </w:r>
      <w:r>
        <w:rPr>
          <w:rFonts w:ascii="Times New Roman" w:hAnsi="Times New Roman"/>
          <w:sz w:val="24"/>
          <w:szCs w:val="24"/>
          <w:lang w:val="en-GB"/>
        </w:rPr>
        <w:t xml:space="preserve">social environment they </w:t>
      </w:r>
      <w:r>
        <w:rPr>
          <w:rFonts w:hint="default" w:ascii="Times New Roman" w:hAnsi="Times New Roman"/>
          <w:sz w:val="24"/>
          <w:szCs w:val="24"/>
          <w:lang w:val="hu-HU"/>
        </w:rPr>
        <w:t xml:space="preserve">stem from </w:t>
      </w:r>
      <w:r>
        <w:rPr>
          <w:rFonts w:ascii="Times New Roman" w:hAnsi="Times New Roman"/>
          <w:sz w:val="24"/>
          <w:szCs w:val="24"/>
          <w:lang w:val="en-GB"/>
        </w:rPr>
        <w:t>- specific transnational solutions are needed so as to recognise the status of these families and, indeed, of their entire social environment.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In addition to dialogue and communication, as suggested </w:t>
      </w:r>
      <w:r>
        <w:rPr>
          <w:rFonts w:hint="default" w:ascii="Times New Roman" w:hAnsi="Times New Roman"/>
          <w:sz w:val="24"/>
          <w:szCs w:val="24"/>
          <w:lang w:val="hu-HU"/>
        </w:rPr>
        <w:t>previously</w:t>
      </w:r>
      <w:r>
        <w:rPr>
          <w:rFonts w:ascii="Times New Roman" w:hAnsi="Times New Roman"/>
          <w:sz w:val="24"/>
          <w:szCs w:val="24"/>
          <w:lang w:val="en-GB"/>
        </w:rPr>
        <w:t>, the transnational status must be formally recognised for all the families, not just their migrant members (as in the case of migrant workers' rights). Thorough and detailed transnational protection measures should be pursued.</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The transnational status of families should focus primarily on their family structure. This means that families are legal, economic and, above all, social and emotional units which function to promote the interests of their members, including dependent members, especially children, creating a social reproduction which is not in fact the reproduction of the society of origin but of a new</w:t>
      </w:r>
      <w:r>
        <w:rPr>
          <w:rFonts w:hint="default" w:ascii="Times New Roman" w:hAnsi="Times New Roman"/>
          <w:sz w:val="24"/>
          <w:szCs w:val="24"/>
          <w:lang w:val="hu-HU"/>
        </w:rPr>
        <w:t>,</w:t>
      </w:r>
      <w:r>
        <w:rPr>
          <w:rFonts w:ascii="Times New Roman" w:hAnsi="Times New Roman"/>
          <w:sz w:val="24"/>
          <w:szCs w:val="24"/>
          <w:lang w:val="en-GB"/>
        </w:rPr>
        <w:t xml:space="preserve"> transnational society.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All recommended internal measures should be institutionalised at </w:t>
      </w:r>
      <w:r>
        <w:rPr>
          <w:rFonts w:hint="default" w:ascii="Times New Roman" w:hAnsi="Times New Roman"/>
          <w:sz w:val="24"/>
          <w:szCs w:val="24"/>
          <w:lang w:val="hu-HU"/>
        </w:rPr>
        <w:t xml:space="preserve">a </w:t>
      </w:r>
      <w:r>
        <w:rPr>
          <w:rFonts w:ascii="Times New Roman" w:hAnsi="Times New Roman"/>
          <w:sz w:val="24"/>
          <w:szCs w:val="24"/>
          <w:lang w:val="en-GB"/>
        </w:rPr>
        <w:t xml:space="preserve">transnational level. </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b/>
          <w:bCs/>
          <w:sz w:val="24"/>
          <w:szCs w:val="24"/>
          <w:lang w:val="en-GB"/>
        </w:rPr>
      </w:pPr>
      <w:r>
        <w:rPr>
          <w:rFonts w:ascii="Times New Roman" w:hAnsi="Times New Roman"/>
          <w:b/>
          <w:bCs/>
          <w:i/>
          <w:iCs/>
          <w:sz w:val="24"/>
          <w:szCs w:val="24"/>
          <w:lang w:val="en-GB"/>
        </w:rPr>
        <w:t xml:space="preserve">- the logic of citizenship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The bi-national agreements between the main countries of origin and the main receiving countries should be publicised so that these families become aware of them. Children left behind in the country of origin should be the beneficiaries of these agreements: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allowances can be given to parents who work legally for children left at home</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access for these children (when necessary) to health services in the destination countries as co-insured persons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temporary free access to education systems in destination countries if for various reasons parents decide to bring their children with them (e.g. to rescue them from certain unfortunate environments)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These benefits should be granted quickly and efficiently and should not be conditional on the family's integration in the host country. We need to be aware of the temporary nature of this labour migration.</w:t>
      </w:r>
    </w:p>
    <w:p>
      <w:pPr>
        <w:pStyle w:val="7"/>
        <w:spacing w:line="259" w:lineRule="auto"/>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We reiterate the need for a hybrid co-guardianship (when the child's/children's sole or both parents leave), see Policy Brief 1: the </w:t>
      </w:r>
      <w:r>
        <w:rPr>
          <w:rFonts w:hint="default" w:ascii="Times New Roman" w:hAnsi="Times New Roman"/>
          <w:sz w:val="24"/>
          <w:szCs w:val="24"/>
          <w:lang w:val="hu-HU"/>
        </w:rPr>
        <w:t xml:space="preserve">parent </w:t>
      </w:r>
      <w:r>
        <w:rPr>
          <w:rFonts w:ascii="Times New Roman" w:hAnsi="Times New Roman"/>
          <w:sz w:val="24"/>
          <w:szCs w:val="24"/>
          <w:lang w:val="en-GB"/>
        </w:rPr>
        <w:t xml:space="preserve">who has left </w:t>
      </w:r>
      <w:r>
        <w:rPr>
          <w:rFonts w:hint="default" w:ascii="Times New Roman" w:hAnsi="Times New Roman"/>
          <w:sz w:val="24"/>
          <w:szCs w:val="24"/>
          <w:lang w:val="hu-HU"/>
        </w:rPr>
        <w:t xml:space="preserve">should remain a </w:t>
      </w:r>
      <w:r>
        <w:rPr>
          <w:rFonts w:ascii="Times New Roman" w:hAnsi="Times New Roman"/>
          <w:sz w:val="24"/>
          <w:szCs w:val="24"/>
          <w:lang w:val="en-GB"/>
        </w:rPr>
        <w:t xml:space="preserve">legal representative with all the rights and duties regarding the child's life, as the main decision-maker, and the state/authorities in turn retain all obligations of information and collaboration </w:t>
      </w:r>
      <w:r>
        <w:rPr>
          <w:rFonts w:hint="default" w:ascii="Times New Roman" w:hAnsi="Times New Roman"/>
          <w:sz w:val="24"/>
          <w:szCs w:val="24"/>
          <w:lang w:val="hu-HU"/>
        </w:rPr>
        <w:t xml:space="preserve">with the parent, </w:t>
      </w:r>
      <w:r>
        <w:rPr>
          <w:rFonts w:ascii="Times New Roman" w:hAnsi="Times New Roman"/>
          <w:sz w:val="24"/>
          <w:szCs w:val="24"/>
          <w:lang w:val="en-GB"/>
        </w:rPr>
        <w:t>online and/or by phone. We recommend that this practice, already existing informally, now become formally legitimised and authorised. The caregiver left at home becomes a co-guardian, without individual decision-making rights, but involved in the information and decision-making process. Authorities in both countries, possibly through dedicated bodies/positions/centres, should be informed of this status of the migrant adult and the migrant adult should have responsibilities, but also rights, in accordance with this status</w:t>
      </w:r>
      <w:r>
        <w:rPr>
          <w:rFonts w:hint="default" w:ascii="Times New Roman" w:hAnsi="Times New Roman"/>
          <w:sz w:val="24"/>
          <w:szCs w:val="24"/>
          <w:lang w:val="hu-HU"/>
        </w:rPr>
        <w:t>, as follows</w:t>
      </w:r>
      <w:r>
        <w:rPr>
          <w:rFonts w:ascii="Times New Roman" w:hAnsi="Times New Roman"/>
          <w:sz w:val="24"/>
          <w:szCs w:val="24"/>
          <w:lang w:val="en-GB"/>
        </w:rPr>
        <w:t>:</w:t>
      </w:r>
    </w:p>
    <w:p>
      <w:pPr>
        <w:pStyle w:val="7"/>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 </w:t>
      </w:r>
      <w:r>
        <w:rPr>
          <w:rFonts w:hint="default" w:ascii="Times New Roman" w:hAnsi="Times New Roman"/>
          <w:sz w:val="24"/>
          <w:szCs w:val="24"/>
          <w:lang w:val="hu-HU"/>
        </w:rPr>
        <w:t xml:space="preserve">he/she </w:t>
      </w:r>
      <w:r>
        <w:rPr>
          <w:rFonts w:ascii="Times New Roman" w:hAnsi="Times New Roman"/>
          <w:sz w:val="24"/>
          <w:szCs w:val="24"/>
          <w:lang w:val="en-GB"/>
        </w:rPr>
        <w:t>should be available to these authorities (should be able to respond whenever approached) - transnational communication</w:t>
      </w:r>
      <w:r>
        <w:rPr>
          <w:rFonts w:hint="default" w:ascii="Times New Roman" w:hAnsi="Times New Roman"/>
          <w:sz w:val="24"/>
          <w:szCs w:val="24"/>
          <w:lang w:val="en-AU"/>
        </w:rPr>
        <w: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 </w:t>
      </w:r>
      <w:r>
        <w:rPr>
          <w:rFonts w:hint="default" w:ascii="Times New Roman" w:hAnsi="Times New Roman"/>
          <w:sz w:val="24"/>
          <w:szCs w:val="24"/>
          <w:lang w:val="en-AU"/>
        </w:rPr>
        <w:t>s</w:t>
      </w:r>
      <w:r>
        <w:rPr>
          <w:rFonts w:ascii="Times New Roman" w:hAnsi="Times New Roman"/>
          <w:sz w:val="24"/>
          <w:szCs w:val="24"/>
          <w:lang w:val="en-GB"/>
        </w:rPr>
        <w:t>tate institutions (schools, hospitals, police, etc.)  should have the right to use technology-mediated communication to communicate with these parents;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 </w:t>
      </w:r>
      <w:r>
        <w:rPr>
          <w:rFonts w:hint="default" w:ascii="Times New Roman" w:hAnsi="Times New Roman"/>
          <w:sz w:val="24"/>
          <w:szCs w:val="24"/>
          <w:lang w:val="en-AU"/>
        </w:rPr>
        <w:t xml:space="preserve">the parent </w:t>
      </w:r>
      <w:r>
        <w:rPr>
          <w:rFonts w:ascii="Times New Roman" w:hAnsi="Times New Roman"/>
          <w:sz w:val="24"/>
          <w:szCs w:val="24"/>
          <w:lang w:val="en-GB"/>
        </w:rPr>
        <w:t>should participate directly in legal decisions concerning children left at home. A certified electronic signature can be introduced for these parents.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Citizens working abroad are still citizens of their country of origin and still have all the responsibilities towards this country, but they must also benefit from the rights of their country, and the authorities must find real solutions to interact with them.</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Families whose migrant adults are pe</w:t>
      </w:r>
      <w:r>
        <w:rPr>
          <w:rFonts w:hint="default" w:ascii="Times New Roman" w:hAnsi="Times New Roman"/>
          <w:sz w:val="24"/>
          <w:szCs w:val="24"/>
          <w:lang w:val="en-AU"/>
        </w:rPr>
        <w:t>r</w:t>
      </w:r>
      <w:r>
        <w:rPr>
          <w:rFonts w:ascii="Times New Roman" w:hAnsi="Times New Roman"/>
          <w:sz w:val="24"/>
          <w:szCs w:val="24"/>
          <w:lang w:val="en-GB"/>
        </w:rPr>
        <w:t xml:space="preserve">forming seasonal work are a vulnerable group because their contracts are often not respected by employers; communication with those at home is more difficult due to the intense nature of the work. As stayaways are short, legal steps are often not taken to inform the authorities about the situation of children when </w:t>
      </w:r>
      <w:r>
        <w:rPr>
          <w:rFonts w:hint="default" w:ascii="Times New Roman" w:hAnsi="Times New Roman"/>
          <w:sz w:val="24"/>
          <w:szCs w:val="24"/>
          <w:lang w:val="en-AU"/>
        </w:rPr>
        <w:t>it is the case</w:t>
      </w:r>
      <w:r>
        <w:rPr>
          <w:rFonts w:ascii="Times New Roman" w:hAnsi="Times New Roman"/>
          <w:sz w:val="24"/>
          <w:szCs w:val="24"/>
          <w:lang w:val="en-GB"/>
        </w:rPr>
        <w:t>. The situation is even more delicate here because</w:t>
      </w:r>
      <w:r>
        <w:rPr>
          <w:rFonts w:hint="default" w:ascii="Times New Roman" w:hAnsi="Times New Roman"/>
          <w:sz w:val="24"/>
          <w:szCs w:val="24"/>
          <w:lang w:val="en-AU"/>
        </w:rPr>
        <w:t xml:space="preserve"> </w:t>
      </w:r>
      <w:r>
        <w:rPr>
          <w:rFonts w:ascii="Times New Roman" w:hAnsi="Times New Roman"/>
          <w:sz w:val="24"/>
          <w:szCs w:val="24"/>
          <w:lang w:val="en-GB"/>
        </w:rPr>
        <w:t xml:space="preserve">employment agencies </w:t>
      </w:r>
      <w:r>
        <w:rPr>
          <w:rFonts w:hint="default" w:ascii="Times New Roman" w:hAnsi="Times New Roman"/>
          <w:sz w:val="24"/>
          <w:szCs w:val="24"/>
          <w:lang w:val="en-AU"/>
        </w:rPr>
        <w:t xml:space="preserve">often </w:t>
      </w:r>
      <w:r>
        <w:rPr>
          <w:rFonts w:ascii="Times New Roman" w:hAnsi="Times New Roman"/>
          <w:sz w:val="24"/>
          <w:szCs w:val="24"/>
          <w:lang w:val="en-GB"/>
        </w:rPr>
        <w:t>deliberately select adults with children left at home to motivate them to return home. In these situations, states should oblige these companies to inform the authorities in order to monitor these children and even consider offering alternative programmes for them:</w:t>
      </w:r>
    </w:p>
    <w:p>
      <w:pPr>
        <w:ind w:firstLine="600" w:firstLineChars="250"/>
        <w:jc w:val="both"/>
        <w:rPr>
          <w:rFonts w:hint="default" w:ascii="Times New Roman" w:hAnsi="Times New Roman"/>
          <w:sz w:val="24"/>
          <w:szCs w:val="24"/>
          <w:lang w:val="en-AU"/>
        </w:rPr>
      </w:pPr>
      <w:r>
        <w:rPr>
          <w:rFonts w:ascii="Times New Roman" w:hAnsi="Times New Roman"/>
          <w:sz w:val="24"/>
          <w:szCs w:val="24"/>
          <w:lang w:val="en-GB"/>
        </w:rPr>
        <w:t>- summer camps - with supervision and activities during the day</w:t>
      </w:r>
      <w:r>
        <w:rPr>
          <w:rFonts w:hint="default" w:ascii="Times New Roman" w:hAnsi="Times New Roman"/>
          <w:sz w:val="24"/>
          <w:szCs w:val="24"/>
          <w:lang w:val="en-AU"/>
        </w:rPr>
        <w: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sports, artistic programmes, etc.</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Companies that massively recruit seasonal workers from certain areas/countries should collaborate with the authorities and could co-fund these programmes (the same applies to Romania with regard to the immigrants they have been intensively recruiting lately).</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Jobs that require adults to </w:t>
      </w:r>
      <w:r>
        <w:rPr>
          <w:rFonts w:hint="default" w:ascii="Times New Roman" w:hAnsi="Times New Roman"/>
          <w:sz w:val="24"/>
          <w:szCs w:val="24"/>
          <w:lang w:val="en-AU"/>
        </w:rPr>
        <w:t xml:space="preserve">be accomodated </w:t>
      </w:r>
      <w:r>
        <w:rPr>
          <w:rFonts w:ascii="Times New Roman" w:hAnsi="Times New Roman"/>
          <w:sz w:val="24"/>
          <w:szCs w:val="24"/>
          <w:lang w:val="en-GB"/>
        </w:rPr>
        <w:t xml:space="preserve">at </w:t>
      </w:r>
      <w:r>
        <w:rPr>
          <w:rFonts w:hint="default" w:ascii="Times New Roman" w:hAnsi="Times New Roman"/>
          <w:sz w:val="24"/>
          <w:szCs w:val="24"/>
          <w:lang w:val="en-AU"/>
        </w:rPr>
        <w:t xml:space="preserve">the </w:t>
      </w:r>
      <w:r>
        <w:rPr>
          <w:rFonts w:ascii="Times New Roman" w:hAnsi="Times New Roman"/>
          <w:sz w:val="24"/>
          <w:szCs w:val="24"/>
          <w:lang w:val="en-GB"/>
        </w:rPr>
        <w:t>work</w:t>
      </w:r>
      <w:r>
        <w:rPr>
          <w:rFonts w:hint="default" w:ascii="Times New Roman" w:hAnsi="Times New Roman"/>
          <w:sz w:val="24"/>
          <w:szCs w:val="24"/>
          <w:lang w:val="en-AU"/>
        </w:rPr>
        <w:t>place or at a place provided by the employer</w:t>
      </w:r>
      <w:r>
        <w:rPr>
          <w:rFonts w:ascii="Times New Roman" w:hAnsi="Times New Roman"/>
          <w:sz w:val="24"/>
          <w:szCs w:val="24"/>
          <w:lang w:val="en-GB"/>
        </w:rPr>
        <w:t xml:space="preserve"> (</w:t>
      </w:r>
      <w:r>
        <w:rPr>
          <w:rFonts w:hint="default" w:ascii="Times New Roman" w:hAnsi="Times New Roman"/>
          <w:sz w:val="24"/>
          <w:szCs w:val="24"/>
          <w:lang w:val="en-AU"/>
        </w:rPr>
        <w:t xml:space="preserve">in-home </w:t>
      </w:r>
      <w:r>
        <w:rPr>
          <w:rFonts w:ascii="Times New Roman" w:hAnsi="Times New Roman"/>
          <w:sz w:val="24"/>
          <w:szCs w:val="24"/>
          <w:lang w:val="en-GB"/>
        </w:rPr>
        <w:t xml:space="preserve">caring for children or other vulnerable people; working in the hotel sector; accommodating several workers in one room, etc.) </w:t>
      </w:r>
      <w:r>
        <w:rPr>
          <w:rFonts w:hint="default" w:ascii="Times New Roman" w:hAnsi="Times New Roman"/>
          <w:sz w:val="24"/>
          <w:szCs w:val="24"/>
          <w:lang w:val="en-AU"/>
        </w:rPr>
        <w:t>burden the transnational relationaships of</w:t>
      </w:r>
      <w:r>
        <w:rPr>
          <w:rFonts w:ascii="Times New Roman" w:hAnsi="Times New Roman"/>
          <w:sz w:val="24"/>
          <w:szCs w:val="24"/>
          <w:lang w:val="en-GB"/>
        </w:rPr>
        <w:t xml:space="preserve"> parents with </w:t>
      </w:r>
      <w:r>
        <w:rPr>
          <w:rFonts w:hint="default" w:ascii="Times New Roman" w:hAnsi="Times New Roman"/>
          <w:sz w:val="24"/>
          <w:szCs w:val="24"/>
          <w:lang w:val="en-AU"/>
        </w:rPr>
        <w:t xml:space="preserve">their </w:t>
      </w:r>
      <w:r>
        <w:rPr>
          <w:rFonts w:ascii="Times New Roman" w:hAnsi="Times New Roman"/>
          <w:sz w:val="24"/>
          <w:szCs w:val="24"/>
          <w:lang w:val="en-GB"/>
        </w:rPr>
        <w:t xml:space="preserve">children at home, as they do not offer space for private virtual communication or potential visits, </w:t>
      </w:r>
      <w:r>
        <w:rPr>
          <w:rFonts w:hint="default" w:ascii="Times New Roman" w:hAnsi="Times New Roman"/>
          <w:sz w:val="24"/>
          <w:szCs w:val="24"/>
          <w:lang w:val="en-AU"/>
        </w:rPr>
        <w:t xml:space="preserve">nor the necessary </w:t>
      </w:r>
      <w:r>
        <w:rPr>
          <w:rFonts w:ascii="Times New Roman" w:hAnsi="Times New Roman"/>
          <w:sz w:val="24"/>
          <w:szCs w:val="24"/>
          <w:lang w:val="en-GB"/>
        </w:rPr>
        <w:t xml:space="preserve">time off. </w:t>
      </w:r>
      <w:r>
        <w:rPr>
          <w:rFonts w:hint="default" w:ascii="Times New Roman" w:hAnsi="Times New Roman"/>
          <w:sz w:val="24"/>
          <w:szCs w:val="24"/>
          <w:lang w:val="en-AU"/>
        </w:rPr>
        <w:t xml:space="preserve">Employers should be obliged and supported </w:t>
      </w:r>
      <w:r>
        <w:rPr>
          <w:rFonts w:ascii="Times New Roman" w:hAnsi="Times New Roman"/>
          <w:sz w:val="24"/>
          <w:szCs w:val="24"/>
          <w:lang w:val="en-GB"/>
        </w:rPr>
        <w:t xml:space="preserve">to provide time and space specifically designed for these transnational interactions. Authorities in destination countries need to be aware that it is not only the migrant adult who is under their protection, but </w:t>
      </w:r>
      <w:r>
        <w:rPr>
          <w:rFonts w:hint="default" w:ascii="Times New Roman" w:hAnsi="Times New Roman"/>
          <w:sz w:val="24"/>
          <w:szCs w:val="24"/>
          <w:lang w:val="en-AU"/>
        </w:rPr>
        <w:t>together with him/her, a</w:t>
      </w:r>
      <w:r>
        <w:rPr>
          <w:rFonts w:ascii="Times New Roman" w:hAnsi="Times New Roman"/>
          <w:sz w:val="24"/>
          <w:szCs w:val="24"/>
          <w:lang w:val="en-GB"/>
        </w:rPr>
        <w:t xml:space="preserve">lso </w:t>
      </w:r>
      <w:r>
        <w:rPr>
          <w:rFonts w:hint="default" w:ascii="Times New Roman" w:hAnsi="Times New Roman"/>
          <w:sz w:val="24"/>
          <w:szCs w:val="24"/>
          <w:lang w:val="en-AU"/>
        </w:rPr>
        <w:t>the migrant’s</w:t>
      </w:r>
      <w:r>
        <w:rPr>
          <w:rFonts w:ascii="Times New Roman" w:hAnsi="Times New Roman"/>
          <w:sz w:val="24"/>
          <w:szCs w:val="24"/>
          <w:lang w:val="en-GB"/>
        </w:rPr>
        <w:t xml:space="preserve"> relationship with the </w:t>
      </w:r>
      <w:r>
        <w:rPr>
          <w:rFonts w:hint="default" w:ascii="Times New Roman" w:hAnsi="Times New Roman"/>
          <w:sz w:val="24"/>
          <w:szCs w:val="24"/>
          <w:lang w:val="en-AU"/>
        </w:rPr>
        <w:t xml:space="preserve">family </w:t>
      </w:r>
      <w:r>
        <w:rPr>
          <w:rFonts w:ascii="Times New Roman" w:hAnsi="Times New Roman"/>
          <w:sz w:val="24"/>
          <w:szCs w:val="24"/>
          <w:lang w:val="en-GB"/>
        </w:rPr>
        <w:t xml:space="preserve">members who remain in the country of origin. </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the logic of humanity</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Refugees and forced migrants (as we are now witnessing in the case of the war in Ukraine) access rights derived from this logic. Unfortunately, we see too little awareness in these protection measures that these people are part of transnational families and still have family members left behind at home. Temporary protection offered by EU countries and, more recently, even by Moldova, </w:t>
      </w:r>
      <w:r>
        <w:rPr>
          <w:rFonts w:hint="default" w:ascii="Times New Roman" w:hAnsi="Times New Roman"/>
          <w:sz w:val="24"/>
          <w:szCs w:val="24"/>
          <w:lang w:val="en-US"/>
        </w:rPr>
        <w:t xml:space="preserve">on the other hand </w:t>
      </w:r>
      <w:r>
        <w:rPr>
          <w:rFonts w:ascii="Times New Roman" w:hAnsi="Times New Roman"/>
          <w:sz w:val="24"/>
          <w:szCs w:val="24"/>
          <w:lang w:val="en-GB"/>
        </w:rPr>
        <w:t>offers greater freedom of movement between the country of origin and the country of destination. But a framework for cooperation between destination countries and countries of origin, overseeing the relationship between the authorities and family members in the other country, is particularly necessary in critical situations, for example:</w:t>
      </w:r>
    </w:p>
    <w:p>
      <w:pPr>
        <w:ind w:firstLine="600" w:firstLineChars="250"/>
        <w:jc w:val="both"/>
        <w:rPr>
          <w:rFonts w:hint="default" w:ascii="Times New Roman" w:hAnsi="Times New Roman"/>
          <w:sz w:val="24"/>
          <w:szCs w:val="24"/>
          <w:lang w:val="en-US"/>
        </w:rPr>
      </w:pPr>
      <w:r>
        <w:rPr>
          <w:rFonts w:ascii="Times New Roman" w:hAnsi="Times New Roman"/>
          <w:sz w:val="24"/>
          <w:szCs w:val="24"/>
          <w:lang w:val="en-GB"/>
        </w:rPr>
        <w:t>- refugee mothers together with part of the family, who still have children left at home (e.g. older boys who could not leave Ukraine)</w:t>
      </w:r>
      <w:r>
        <w:rPr>
          <w:rFonts w:hint="default" w:ascii="Times New Roman" w:hAnsi="Times New Roman"/>
          <w:sz w:val="24"/>
          <w:szCs w:val="24"/>
          <w:lang w:val="en-US"/>
        </w:rPr>
        <w:t>;</w:t>
      </w:r>
    </w:p>
    <w:p>
      <w:pPr>
        <w:pStyle w:val="7"/>
        <w:ind w:firstLine="600" w:firstLineChars="250"/>
        <w:rPr>
          <w:rFonts w:hint="default" w:ascii="Times New Roman" w:hAnsi="Times New Roman"/>
          <w:sz w:val="24"/>
          <w:szCs w:val="24"/>
          <w:lang w:val="en-US"/>
        </w:rPr>
      </w:pPr>
      <w:r>
        <w:rPr>
          <w:rFonts w:ascii="Times New Roman" w:hAnsi="Times New Roman"/>
          <w:sz w:val="24"/>
          <w:szCs w:val="24"/>
          <w:lang w:val="en-GB"/>
        </w:rPr>
        <w:t>- children together with one parent in one EU country and with the other parent in another country</w:t>
      </w:r>
      <w:r>
        <w:rPr>
          <w:rFonts w:hint="default" w:ascii="Times New Roman" w:hAnsi="Times New Roman"/>
          <w:sz w:val="24"/>
          <w:szCs w:val="24"/>
          <w:lang w:val="en-US"/>
        </w:rPr>
        <w:t>;</w:t>
      </w:r>
    </w:p>
    <w:p>
      <w:pPr>
        <w:pStyle w:val="7"/>
        <w:ind w:firstLine="600" w:firstLineChars="250"/>
        <w:rPr>
          <w:rFonts w:ascii="Times New Roman" w:hAnsi="Times New Roman"/>
          <w:sz w:val="24"/>
          <w:szCs w:val="24"/>
          <w:lang w:val="en-GB"/>
        </w:rPr>
      </w:pPr>
      <w:r>
        <w:rPr>
          <w:rFonts w:ascii="Times New Roman" w:hAnsi="Times New Roman"/>
          <w:sz w:val="24"/>
          <w:szCs w:val="24"/>
          <w:lang w:val="en-GB"/>
        </w:rPr>
        <w:t>- children in a</w:t>
      </w:r>
      <w:r>
        <w:rPr>
          <w:rFonts w:hint="default" w:ascii="Times New Roman" w:hAnsi="Times New Roman"/>
          <w:sz w:val="24"/>
          <w:szCs w:val="24"/>
          <w:lang w:val="en-US"/>
        </w:rPr>
        <w:t>n</w:t>
      </w:r>
      <w:r>
        <w:rPr>
          <w:rFonts w:ascii="Times New Roman" w:hAnsi="Times New Roman"/>
          <w:sz w:val="24"/>
          <w:szCs w:val="24"/>
          <w:lang w:val="en-GB"/>
        </w:rPr>
        <w:t xml:space="preserve"> EU country without parents with them, who have parents in another EU country. </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We recommend the amendment of the refugee protection/temporary protection laws, so as to make it easier for refugees to relate to family members in other countries.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Very often labour migrants with a legal contract, especially in the case of countries of origin outside the EU, end up in a form of illegal labour migration: contracts, visas, etc. expire. At that point, social protection in the country of destination for migrant family members disappears and makes it difficult to relate transnationally with the family left at home. Moreover, those at home hide the departure of a member in such a situation in order to protect them. We should be aware that this illegal labour migration is often not a choice and that in critical cases, families with members in such situations should receive humanitarian support both in the country of origin and in the country of destination.</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sz w:val="24"/>
          <w:szCs w:val="24"/>
          <w:lang w:val="en-GB"/>
        </w:rPr>
      </w:pPr>
      <w:r>
        <w:rPr>
          <w:rFonts w:ascii="Times New Roman" w:hAnsi="Times New Roman"/>
          <w:b/>
          <w:bCs/>
          <w:i/>
          <w:iCs/>
          <w:sz w:val="24"/>
          <w:szCs w:val="24"/>
          <w:lang w:val="en-GB"/>
        </w:rPr>
        <w:t>- the logic of the market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It is natural and understandable that most labour migrants go abroad because their states fail to provide social protection to them and especially to their family members. The primary objective is to raise the money in order to buy protection (care services; medical services; money to support vulnerable family members, etc.).</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These elements of social protection are rarely bought in the country of destination (they are expensive). Even the migrant returns to the country of origin to access various services. This leads first to a strong privatisation of these services in countries with a high </w:t>
      </w:r>
      <w:r>
        <w:rPr>
          <w:rFonts w:hint="default" w:ascii="Times New Roman" w:hAnsi="Times New Roman"/>
          <w:sz w:val="24"/>
          <w:szCs w:val="24"/>
          <w:lang w:val="en-US"/>
        </w:rPr>
        <w:t>out</w:t>
      </w:r>
      <w:r>
        <w:rPr>
          <w:rFonts w:ascii="Times New Roman" w:hAnsi="Times New Roman"/>
          <w:sz w:val="24"/>
          <w:szCs w:val="24"/>
          <w:lang w:val="en-GB"/>
        </w:rPr>
        <w:t xml:space="preserve">flow of migrants, and then to a high price for these services in the country of origin. </w:t>
      </w:r>
      <w:r>
        <w:rPr>
          <w:rFonts w:hint="default" w:ascii="Times New Roman" w:hAnsi="Times New Roman"/>
          <w:sz w:val="24"/>
          <w:szCs w:val="24"/>
          <w:lang w:val="en-US"/>
        </w:rPr>
        <w:t>This is</w:t>
      </w:r>
      <w:r>
        <w:rPr>
          <w:rFonts w:ascii="Times New Roman" w:hAnsi="Times New Roman"/>
          <w:sz w:val="24"/>
          <w:szCs w:val="24"/>
          <w:lang w:val="en-GB"/>
        </w:rPr>
        <w:t xml:space="preserve"> a vicious circle, because then migrants have to produce even more money to pay for them. Many residents (including family members back home) find it difficult to access these services. What's more, other foreign nationals also come to buy services from these countries (see medical tourism - e.g. dental services). Measures could be taken to protect against these high prices by setting a maximum threshold for various services for residents and, of course, it should be mandatory for these companies to offer a percentage of services to residents.</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b/>
          <w:bCs/>
          <w:i/>
          <w:iCs/>
          <w:sz w:val="24"/>
          <w:szCs w:val="24"/>
          <w:lang w:val="en-GB"/>
        </w:rPr>
      </w:pPr>
      <w:r>
        <w:rPr>
          <w:rFonts w:ascii="Times New Roman" w:hAnsi="Times New Roman"/>
          <w:b/>
          <w:bCs/>
          <w:i/>
          <w:iCs/>
          <w:sz w:val="24"/>
          <w:szCs w:val="24"/>
          <w:lang w:val="en-GB"/>
        </w:rPr>
        <w:t xml:space="preserve">- the logic of community and </w:t>
      </w:r>
      <w:r>
        <w:rPr>
          <w:rFonts w:hint="default" w:ascii="Times New Roman" w:hAnsi="Times New Roman"/>
          <w:b/>
          <w:bCs/>
          <w:i/>
          <w:iCs/>
          <w:sz w:val="24"/>
          <w:szCs w:val="24"/>
          <w:lang w:val="en-US"/>
        </w:rPr>
        <w:t xml:space="preserve">respective </w:t>
      </w:r>
      <w:r>
        <w:rPr>
          <w:rFonts w:ascii="Times New Roman" w:hAnsi="Times New Roman"/>
          <w:b/>
          <w:bCs/>
          <w:i/>
          <w:iCs/>
          <w:sz w:val="24"/>
          <w:szCs w:val="24"/>
          <w:lang w:val="en-GB"/>
        </w:rPr>
        <w:t>social protections as community</w:t>
      </w:r>
    </w:p>
    <w:p>
      <w:pPr>
        <w:pStyle w:val="7"/>
        <w:spacing w:line="259" w:lineRule="auto"/>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In our experience, migrant communities (Moldovans, Ukrainians and even Romanians) are not </w:t>
      </w:r>
      <w:r>
        <w:rPr>
          <w:rFonts w:hint="default" w:ascii="Times New Roman" w:hAnsi="Times New Roman"/>
          <w:sz w:val="24"/>
          <w:szCs w:val="24"/>
          <w:lang w:val="en-US"/>
        </w:rPr>
        <w:t xml:space="preserve">especially </w:t>
      </w:r>
      <w:r>
        <w:rPr>
          <w:rFonts w:ascii="Times New Roman" w:hAnsi="Times New Roman"/>
          <w:sz w:val="24"/>
          <w:szCs w:val="24"/>
          <w:lang w:val="en-GB"/>
        </w:rPr>
        <w:t xml:space="preserve">functional as sources of social support. Few respondents </w:t>
      </w:r>
      <w:r>
        <w:rPr>
          <w:rFonts w:hint="default" w:ascii="Times New Roman" w:hAnsi="Times New Roman"/>
          <w:sz w:val="24"/>
          <w:szCs w:val="24"/>
          <w:lang w:val="en-US"/>
        </w:rPr>
        <w:t xml:space="preserve">report </w:t>
      </w:r>
      <w:r>
        <w:rPr>
          <w:rFonts w:ascii="Times New Roman" w:hAnsi="Times New Roman"/>
          <w:sz w:val="24"/>
          <w:szCs w:val="24"/>
          <w:lang w:val="en-GB"/>
        </w:rPr>
        <w:t xml:space="preserve">support from co-citizens in destination countries (with the </w:t>
      </w:r>
      <w:r>
        <w:rPr>
          <w:rFonts w:hint="default" w:ascii="Times New Roman" w:hAnsi="Times New Roman"/>
          <w:sz w:val="24"/>
          <w:szCs w:val="24"/>
          <w:lang w:val="en-US"/>
        </w:rPr>
        <w:t xml:space="preserve">partial </w:t>
      </w:r>
      <w:r>
        <w:rPr>
          <w:rFonts w:ascii="Times New Roman" w:hAnsi="Times New Roman"/>
          <w:sz w:val="24"/>
          <w:szCs w:val="24"/>
          <w:lang w:val="en-GB"/>
        </w:rPr>
        <w:t xml:space="preserve">exception of Ukrainian communities formed as a result of the common situation caused by the war). Individual networks </w:t>
      </w:r>
      <w:r>
        <w:rPr>
          <w:rFonts w:hint="default" w:ascii="Times New Roman" w:hAnsi="Times New Roman"/>
          <w:sz w:val="24"/>
          <w:szCs w:val="24"/>
          <w:lang w:val="en-US"/>
        </w:rPr>
        <w:t xml:space="preserve">do </w:t>
      </w:r>
      <w:r>
        <w:rPr>
          <w:rFonts w:ascii="Times New Roman" w:hAnsi="Times New Roman"/>
          <w:sz w:val="24"/>
          <w:szCs w:val="24"/>
          <w:lang w:val="en-GB"/>
        </w:rPr>
        <w:t>function, but community networks</w:t>
      </w:r>
      <w:r>
        <w:rPr>
          <w:rFonts w:hint="default" w:ascii="Times New Roman" w:hAnsi="Times New Roman"/>
          <w:sz w:val="24"/>
          <w:szCs w:val="24"/>
          <w:lang w:val="en-US"/>
        </w:rPr>
        <w:t xml:space="preserve"> don’t</w:t>
      </w:r>
      <w:r>
        <w:rPr>
          <w:rFonts w:ascii="Times New Roman" w:hAnsi="Times New Roman"/>
          <w:sz w:val="24"/>
          <w:szCs w:val="24"/>
          <w:lang w:val="en-GB"/>
        </w:rPr>
        <w:t>. Building a supportive diaspora in the destination country is also the responsibility of the countries of origin (funding programmes, religious services, etc.). In order to become civically active and in order to increase the supportive nature of migrant networks, these migrants must first integrate in a pragmatic manner and have financial security. But for these diasporas in the making there is a long way to go.</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Community networks in countries of origin are also weak. For example, in Moldova and Ukraine (but not only here) there are entire villages without active adults (</w:t>
      </w:r>
      <w:r>
        <w:rPr>
          <w:rFonts w:hint="default" w:ascii="Times New Roman" w:hAnsi="Times New Roman"/>
          <w:sz w:val="24"/>
          <w:szCs w:val="24"/>
          <w:lang w:val="en-US"/>
        </w:rPr>
        <w:t xml:space="preserve">it is </w:t>
      </w:r>
      <w:r>
        <w:rPr>
          <w:rFonts w:ascii="Times New Roman" w:hAnsi="Times New Roman"/>
          <w:sz w:val="24"/>
          <w:szCs w:val="24"/>
          <w:lang w:val="en-GB"/>
        </w:rPr>
        <w:t xml:space="preserve">elderly people and children </w:t>
      </w:r>
      <w:r>
        <w:rPr>
          <w:rFonts w:hint="default" w:ascii="Times New Roman" w:hAnsi="Times New Roman"/>
          <w:sz w:val="24"/>
          <w:szCs w:val="24"/>
          <w:lang w:val="en-US"/>
        </w:rPr>
        <w:t xml:space="preserve">who </w:t>
      </w:r>
      <w:r>
        <w:rPr>
          <w:rFonts w:ascii="Times New Roman" w:hAnsi="Times New Roman"/>
          <w:sz w:val="24"/>
          <w:szCs w:val="24"/>
          <w:lang w:val="en-GB"/>
        </w:rPr>
        <w:t>stay at home). Here it's hard to get support when you need it.</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In destination countries, there are often NGOs that provide support to migrants in distress, but the services are not sufficiently publicised. Many do not </w:t>
      </w:r>
      <w:r>
        <w:rPr>
          <w:rFonts w:hint="default" w:ascii="Times New Roman" w:hAnsi="Times New Roman"/>
          <w:sz w:val="24"/>
          <w:szCs w:val="24"/>
          <w:lang w:val="en-US"/>
        </w:rPr>
        <w:t>learn</w:t>
      </w:r>
      <w:r>
        <w:rPr>
          <w:rFonts w:ascii="Times New Roman" w:hAnsi="Times New Roman"/>
          <w:sz w:val="24"/>
          <w:szCs w:val="24"/>
          <w:lang w:val="en-GB"/>
        </w:rPr>
        <w:t xml:space="preserve"> about their services in a timely manner.</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 xml:space="preserve">In the countries of origin (Moldova and Ukraine), there are very few NGOs providing services/support to families with children left at home. The existing organisations, limited in number, are rather funded from outside the country. </w:t>
      </w:r>
      <w:r>
        <w:rPr>
          <w:rFonts w:hint="default" w:ascii="Times New Roman" w:hAnsi="Times New Roman"/>
          <w:sz w:val="24"/>
          <w:szCs w:val="24"/>
          <w:lang w:val="en-US"/>
        </w:rPr>
        <w:t>M</w:t>
      </w:r>
      <w:r>
        <w:rPr>
          <w:rFonts w:ascii="Times New Roman" w:hAnsi="Times New Roman"/>
          <w:sz w:val="24"/>
          <w:szCs w:val="24"/>
          <w:lang w:val="en-GB"/>
        </w:rPr>
        <w:t>easure</w:t>
      </w:r>
      <w:r>
        <w:rPr>
          <w:rFonts w:hint="default" w:ascii="Times New Roman" w:hAnsi="Times New Roman"/>
          <w:sz w:val="24"/>
          <w:szCs w:val="24"/>
          <w:lang w:val="en-US"/>
        </w:rPr>
        <w:t>s</w:t>
      </w:r>
      <w:r>
        <w:rPr>
          <w:rFonts w:ascii="Times New Roman" w:hAnsi="Times New Roman"/>
          <w:sz w:val="24"/>
          <w:szCs w:val="24"/>
          <w:lang w:val="en-GB"/>
        </w:rPr>
        <w:t xml:space="preserve"> to support these types of activities through NGOs could be </w:t>
      </w:r>
      <w:r>
        <w:rPr>
          <w:rFonts w:hint="default" w:ascii="Times New Roman" w:hAnsi="Times New Roman"/>
          <w:sz w:val="24"/>
          <w:szCs w:val="24"/>
          <w:lang w:val="en-US"/>
        </w:rPr>
        <w:t>useful</w:t>
      </w:r>
      <w:r>
        <w:rPr>
          <w:rFonts w:ascii="Times New Roman" w:hAnsi="Times New Roman"/>
          <w:sz w:val="24"/>
          <w:szCs w:val="24"/>
          <w:lang w:val="en-GB"/>
        </w:rPr>
        <w:t>. This is what Romania has done in the past and has recently strengthened this support through special funding programmes, which can be accessed for this category of beneficiaries.</w:t>
      </w:r>
    </w:p>
    <w:p>
      <w:pPr>
        <w:spacing w:after="0"/>
        <w:ind w:firstLine="250"/>
        <w:jc w:val="both"/>
        <w:rPr>
          <w:rFonts w:ascii="Times New Roman" w:hAnsi="Times New Roman"/>
          <w:sz w:val="24"/>
          <w:szCs w:val="24"/>
          <w:lang w:val="en-GB"/>
        </w:rPr>
      </w:pPr>
      <w:r>
        <w:rPr>
          <w:rFonts w:ascii="Times New Roman" w:hAnsi="Times New Roman"/>
          <w:sz w:val="24"/>
          <w:szCs w:val="24"/>
          <w:lang w:val="en-GB"/>
        </w:rPr>
        <w:t>Transnational NGOs could provide services to these families, both in destination countries and in countries of origin. Funding programmes (e.g. CASTLE/ Terre des Hommes) for such transnational projects are very useful.</w:t>
      </w:r>
    </w:p>
    <w:p>
      <w:pPr>
        <w:ind w:firstLine="600" w:firstLineChars="250"/>
        <w:jc w:val="both"/>
        <w:rPr>
          <w:rFonts w:ascii="Times New Roman" w:hAnsi="Times New Roman"/>
          <w:sz w:val="24"/>
          <w:szCs w:val="24"/>
          <w:lang w:val="en-GB"/>
        </w:rPr>
      </w:pPr>
    </w:p>
    <w:p>
      <w:pPr>
        <w:ind w:firstLine="600" w:firstLineChars="250"/>
        <w:jc w:val="both"/>
        <w:rPr>
          <w:rFonts w:ascii="Times New Roman" w:hAnsi="Times New Roman"/>
          <w:b/>
          <w:bCs/>
          <w:sz w:val="24"/>
          <w:szCs w:val="24"/>
          <w:u w:val="single"/>
          <w:lang w:val="en-GB"/>
        </w:rPr>
      </w:pPr>
      <w:r>
        <w:rPr>
          <w:rFonts w:ascii="Times New Roman" w:hAnsi="Times New Roman"/>
          <w:b/>
          <w:bCs/>
          <w:sz w:val="24"/>
          <w:szCs w:val="24"/>
          <w:u w:val="single"/>
          <w:lang w:val="en-GB"/>
        </w:rPr>
        <w:t>T</w:t>
      </w:r>
      <w:r>
        <w:rPr>
          <w:rFonts w:hint="default" w:ascii="Times New Roman" w:hAnsi="Times New Roman"/>
          <w:b/>
          <w:bCs/>
          <w:sz w:val="24"/>
          <w:szCs w:val="24"/>
          <w:u w:val="single"/>
          <w:lang w:val="en-US"/>
        </w:rPr>
        <w:t>akeaways</w:t>
      </w:r>
    </w:p>
    <w:p>
      <w:pPr>
        <w:ind w:firstLine="600" w:firstLineChars="250"/>
        <w:jc w:val="both"/>
        <w:rPr>
          <w:rFonts w:hint="default" w:ascii="Times New Roman" w:hAnsi="Times New Roman"/>
          <w:sz w:val="24"/>
          <w:szCs w:val="24"/>
          <w:lang w:val="en-US"/>
        </w:rPr>
      </w:pPr>
      <w:r>
        <w:rPr>
          <w:rFonts w:ascii="Times New Roman" w:hAnsi="Times New Roman"/>
          <w:sz w:val="24"/>
          <w:szCs w:val="24"/>
          <w:lang w:val="en-GB"/>
        </w:rPr>
        <w:t>-</w:t>
      </w:r>
      <w:r>
        <w:rPr>
          <w:rStyle w:val="6"/>
          <w:rFonts w:hint="default"/>
          <w:lang w:val="en-US"/>
        </w:rPr>
        <w:t xml:space="preserve"> </w:t>
      </w:r>
      <w:r>
        <w:rPr>
          <w:rFonts w:ascii="Times New Roman" w:hAnsi="Times New Roman"/>
          <w:sz w:val="24"/>
          <w:szCs w:val="24"/>
          <w:lang w:val="en-GB"/>
        </w:rPr>
        <w:t>EU transnational social protection across borders (in predominant countries of origin), including institutional communication, common databases, hotlines, mutual information on legislation, collaborative policy development teams.</w:t>
      </w:r>
    </w:p>
    <w:p>
      <w:pPr>
        <w:ind w:firstLine="600" w:firstLineChars="250"/>
        <w:jc w:val="both"/>
        <w:rPr>
          <w:rFonts w:ascii="Times New Roman" w:hAnsi="Times New Roman"/>
          <w:sz w:val="24"/>
          <w:szCs w:val="24"/>
          <w:lang w:val="en-GB"/>
        </w:rPr>
      </w:pPr>
      <w:r>
        <w:rPr>
          <w:rFonts w:ascii="Times New Roman" w:hAnsi="Times New Roman"/>
          <w:sz w:val="24"/>
          <w:szCs w:val="24"/>
          <w:lang w:val="en-GB"/>
        </w:rPr>
        <w:t>-</w:t>
      </w:r>
      <w:r>
        <w:rPr>
          <w:rFonts w:hint="default" w:ascii="Times New Roman" w:hAnsi="Times New Roman"/>
          <w:sz w:val="24"/>
          <w:szCs w:val="24"/>
          <w:lang w:val="en-US"/>
        </w:rPr>
        <w:t xml:space="preserve"> </w:t>
      </w:r>
      <w:r>
        <w:rPr>
          <w:rFonts w:ascii="Times New Roman" w:hAnsi="Times New Roman"/>
          <w:sz w:val="24"/>
          <w:szCs w:val="24"/>
          <w:lang w:val="en-GB"/>
        </w:rPr>
        <w:t>Unification of family policies between countries.</w:t>
      </w:r>
    </w:p>
    <w:p>
      <w:pPr>
        <w:pStyle w:val="7"/>
        <w:spacing w:line="259" w:lineRule="auto"/>
        <w:ind w:firstLine="600" w:firstLineChars="250"/>
        <w:jc w:val="both"/>
        <w:rPr>
          <w:rFonts w:ascii="Times New Roman" w:hAnsi="Times New Roman"/>
          <w:sz w:val="24"/>
          <w:szCs w:val="24"/>
          <w:lang w:val="en-GB"/>
        </w:rPr>
      </w:pPr>
      <w:r>
        <w:rPr>
          <w:rFonts w:ascii="Times New Roman" w:hAnsi="Times New Roman"/>
          <w:sz w:val="24"/>
          <w:szCs w:val="24"/>
          <w:lang w:val="en-GB"/>
        </w:rPr>
        <w:t>-</w:t>
      </w:r>
      <w:r>
        <w:rPr>
          <w:rFonts w:hint="default" w:ascii="Times New Roman" w:hAnsi="Times New Roman"/>
          <w:sz w:val="24"/>
          <w:szCs w:val="24"/>
          <w:lang w:val="en-US"/>
        </w:rPr>
        <w:t xml:space="preserve"> </w:t>
      </w:r>
      <w:r>
        <w:rPr>
          <w:rFonts w:ascii="Times New Roman" w:hAnsi="Times New Roman"/>
          <w:sz w:val="24"/>
          <w:szCs w:val="24"/>
          <w:lang w:val="en-GB"/>
        </w:rPr>
        <w:t>Informing migrants about rights: they ought to be informed about their rights and duties in the country of destination (even if they are illegal migrants), in addition to those in the country of origin, including services available through country offices.</w:t>
      </w:r>
    </w:p>
    <w:p>
      <w:pPr>
        <w:pStyle w:val="7"/>
        <w:spacing w:line="259" w:lineRule="auto"/>
        <w:ind w:firstLine="600" w:firstLineChars="250"/>
        <w:jc w:val="both"/>
        <w:rPr>
          <w:rFonts w:ascii="Times New Roman" w:hAnsi="Times New Roman"/>
          <w:sz w:val="24"/>
          <w:szCs w:val="24"/>
          <w:lang w:val="en-GB"/>
        </w:rPr>
      </w:pPr>
      <w:r>
        <w:rPr>
          <w:rFonts w:ascii="Times New Roman" w:hAnsi="Times New Roman"/>
          <w:sz w:val="24"/>
          <w:szCs w:val="24"/>
          <w:lang w:val="en-GB"/>
        </w:rPr>
        <w:t>-</w:t>
      </w:r>
      <w:r>
        <w:rPr>
          <w:rFonts w:hint="default" w:ascii="Times New Roman" w:hAnsi="Times New Roman"/>
          <w:sz w:val="24"/>
          <w:szCs w:val="24"/>
          <w:lang w:val="en-US"/>
        </w:rPr>
        <w:t xml:space="preserve"> </w:t>
      </w:r>
      <w:r>
        <w:rPr>
          <w:rFonts w:ascii="Times New Roman" w:hAnsi="Times New Roman"/>
          <w:sz w:val="24"/>
          <w:szCs w:val="24"/>
          <w:lang w:val="en-GB"/>
        </w:rPr>
        <w:t>NGO action: raising awareness on services provided by NGOs for migrants in destination countries. The actions are weak in the countries of origin, therefore they need to be strengthened  and be promoted.</w:t>
      </w:r>
    </w:p>
    <w:p>
      <w:pPr>
        <w:pStyle w:val="7"/>
        <w:spacing w:line="259" w:lineRule="auto"/>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p>
    <w:p>
      <w:pPr>
        <w:pStyle w:val="7"/>
        <w:ind w:firstLine="600" w:firstLineChars="250"/>
        <w:rPr>
          <w:rFonts w:ascii="Times New Roman" w:hAnsi="Times New Roman"/>
          <w:sz w:val="24"/>
          <w:szCs w:val="24"/>
          <w:lang w:val="en-GB"/>
        </w:rPr>
      </w:pPr>
      <w:r>
        <w:rPr>
          <w:rFonts w:ascii="Times New Roman" w:hAnsi="Times New Roman"/>
          <w:b/>
          <w:bCs/>
          <w:sz w:val="24"/>
          <w:szCs w:val="24"/>
          <w:u w:val="single"/>
          <w:lang w:val="en-GB"/>
        </w:rPr>
        <w:t>Bibliography</w:t>
      </w:r>
    </w:p>
    <w:p>
      <w:pPr>
        <w:pStyle w:val="7"/>
        <w:ind w:firstLine="600" w:firstLineChars="250"/>
        <w:rPr>
          <w:rFonts w:ascii="Times New Roman" w:hAnsi="Times New Roman"/>
          <w:sz w:val="24"/>
          <w:szCs w:val="24"/>
          <w:lang w:val="en-GB"/>
        </w:rPr>
      </w:pPr>
    </w:p>
    <w:p>
      <w:pPr>
        <w:pStyle w:val="14"/>
        <w:spacing w:after="160" w:afterAutospacing="0" w:line="22" w:lineRule="atLeast"/>
        <w:ind w:firstLine="600" w:firstLineChars="250"/>
        <w:jc w:val="both"/>
        <w:rPr>
          <w:color w:val="000000"/>
          <w:lang w:val="en-GB"/>
        </w:rPr>
      </w:pPr>
      <w:r>
        <w:rPr>
          <w:color w:val="000000"/>
          <w:lang w:val="en-GB"/>
        </w:rPr>
        <w:t xml:space="preserve">Avato, J., Koettl, J., &amp; Sabates-Wheeler, R. (2010). Social security regimes, global estimates, and good practices: The status of social protection for international migrants. </w:t>
      </w:r>
      <w:r>
        <w:rPr>
          <w:i/>
          <w:iCs/>
          <w:color w:val="000000"/>
          <w:lang w:val="en-GB"/>
        </w:rPr>
        <w:t>World Development, 38</w:t>
      </w:r>
      <w:r>
        <w:rPr>
          <w:color w:val="000000"/>
          <w:lang w:val="en-GB"/>
        </w:rPr>
        <w:t>, 455-466.</w:t>
      </w:r>
    </w:p>
    <w:p>
      <w:pPr>
        <w:pStyle w:val="14"/>
        <w:spacing w:after="160" w:afterAutospacing="0" w:line="22" w:lineRule="atLeast"/>
        <w:ind w:firstLine="600" w:firstLineChars="250"/>
        <w:jc w:val="both"/>
        <w:rPr>
          <w:lang w:val="en-GB"/>
        </w:rPr>
      </w:pPr>
      <w:r>
        <w:rPr>
          <w:color w:val="000000"/>
          <w:lang w:val="en-GB"/>
        </w:rPr>
        <w:t xml:space="preserve">Baldassar, L., M. Kilkey, L. Merla, and R. Wilding (2018), 'Transnational families in the era of global mobility', in A. Triandafyllidou (ed.), </w:t>
      </w:r>
      <w:r>
        <w:rPr>
          <w:i/>
          <w:iCs/>
          <w:color w:val="000000"/>
          <w:lang w:val="en-GB"/>
        </w:rPr>
        <w:t>Handbook of Migration and Globalisation</w:t>
      </w:r>
      <w:r>
        <w:rPr>
          <w:color w:val="000000"/>
          <w:lang w:val="en-GB"/>
        </w:rPr>
        <w:t>, Cheltenham, UK and Northampton, MA, USA: Edward Elgar Publishing, pp. 431-43.</w:t>
      </w:r>
    </w:p>
    <w:p>
      <w:pPr>
        <w:pStyle w:val="14"/>
        <w:shd w:val="clear" w:color="auto" w:fill="FFFFFF"/>
        <w:spacing w:before="280" w:beforeAutospacing="0" w:after="160" w:afterAutospacing="0" w:line="22" w:lineRule="atLeast"/>
        <w:ind w:firstLine="600" w:firstLineChars="250"/>
        <w:jc w:val="both"/>
        <w:rPr>
          <w:lang w:val="en-GB"/>
        </w:rPr>
      </w:pPr>
      <w:r>
        <w:rPr>
          <w:color w:val="000000"/>
          <w:lang w:val="en-GB"/>
        </w:rPr>
        <w:t>Degavre, F., and L. Merla. 2016. "Defamilialization of Whom? Re-Thinking Defamilialization in the Light of Global Care Chains and the Transnational Circulation of Care." In Family Life in an Age of Migration and Mobility, edited by Kilkey, Majella, and Ewa Palenga-Möllenbeck, 287-311. London: Palgrave Macmillan.</w:t>
      </w:r>
      <w:r>
        <w:rPr>
          <w:color w:val="000000"/>
          <w:shd w:val="clear" w:color="auto" w:fill="FFFFFF"/>
          <w:lang w:val="en-GB"/>
        </w:rPr>
        <w:t xml:space="preserve">Faist, T. and B. Bilecen (2015). Social Inequalities Through the Lens of Social Protection: Notes on the Transnational Social Question </w:t>
      </w:r>
      <w:r>
        <w:rPr>
          <w:i/>
          <w:iCs/>
          <w:color w:val="000000"/>
          <w:shd w:val="clear" w:color="auto" w:fill="FFFFFF"/>
          <w:lang w:val="en-GB"/>
        </w:rPr>
        <w:t xml:space="preserve">Population, Space and Place </w:t>
      </w:r>
      <w:r>
        <w:rPr>
          <w:color w:val="000000"/>
          <w:shd w:val="clear" w:color="auto" w:fill="FFFFFF"/>
          <w:lang w:val="en-GB"/>
        </w:rPr>
        <w:t>21(3): 282-293.</w:t>
      </w:r>
    </w:p>
    <w:p>
      <w:pPr>
        <w:pStyle w:val="14"/>
        <w:spacing w:after="160" w:afterAutospacing="0" w:line="22" w:lineRule="atLeast"/>
        <w:ind w:firstLine="600" w:firstLineChars="250"/>
        <w:jc w:val="both"/>
        <w:rPr>
          <w:lang w:val="en-GB"/>
        </w:rPr>
      </w:pPr>
      <w:r>
        <w:rPr>
          <w:color w:val="000000"/>
          <w:lang w:val="en-GB"/>
        </w:rPr>
        <w:t xml:space="preserve">Kilkey, M. and D. Urzi (2017), 'Social reproduction in Sicily's agricultural sector: Migration status and context of reception', </w:t>
      </w:r>
      <w:r>
        <w:rPr>
          <w:i/>
          <w:iCs/>
          <w:color w:val="000000"/>
          <w:lang w:val="en-GB"/>
        </w:rPr>
        <w:t>Journal of Ethnic and Migration Studies</w:t>
      </w:r>
      <w:r>
        <w:rPr>
          <w:color w:val="000000"/>
          <w:lang w:val="en-GB"/>
        </w:rPr>
        <w:t>, 43 (15), 2573-90. doi: 10 .1080/1369183X .2017 .1286971.</w:t>
      </w:r>
    </w:p>
    <w:p>
      <w:pPr>
        <w:pStyle w:val="14"/>
        <w:spacing w:after="200" w:afterAutospacing="0" w:line="17" w:lineRule="atLeast"/>
        <w:ind w:firstLine="600" w:firstLineChars="250"/>
        <w:jc w:val="both"/>
        <w:rPr>
          <w:lang w:val="en-GB"/>
        </w:rPr>
      </w:pPr>
      <w:r>
        <w:rPr>
          <w:color w:val="000000"/>
          <w:lang w:val="it-IT"/>
        </w:rPr>
        <w:t xml:space="preserve">Levitt, P., Viterna, J., Mueller, A., &amp; Lloyd, C. (2017). </w:t>
      </w:r>
      <w:r>
        <w:rPr>
          <w:color w:val="000000"/>
          <w:lang w:val="en-GB"/>
        </w:rPr>
        <w:t>Transnational social protection: setting the agenda, Oxford Development Studies, 45:1, 2-19, DOI: 10.1080/13600818.2016.1239702</w:t>
      </w:r>
    </w:p>
    <w:p>
      <w:pPr>
        <w:pStyle w:val="14"/>
        <w:spacing w:line="22" w:lineRule="atLeast"/>
        <w:ind w:firstLine="600" w:firstLineChars="250"/>
        <w:rPr>
          <w:lang w:val="en-GB"/>
        </w:rPr>
      </w:pPr>
      <w:r>
        <w:rPr>
          <w:color w:val="000000"/>
          <w:lang w:val="en-GB"/>
        </w:rPr>
        <w:t>Levitt, P., Dobbs, E.,Sun, K.C.-Y. and R. Paul (2023). Transnational social protection: social welfare across national borders. New York, NY: Oxford University Press.</w:t>
      </w:r>
    </w:p>
    <w:p>
      <w:pPr>
        <w:pStyle w:val="14"/>
        <w:spacing w:line="22" w:lineRule="atLeast"/>
        <w:ind w:firstLine="600" w:firstLineChars="250"/>
        <w:rPr>
          <w:lang w:val="en-GB"/>
        </w:rPr>
      </w:pPr>
      <w:r>
        <w:rPr>
          <w:color w:val="000000"/>
          <w:lang w:val="en-GB"/>
        </w:rPr>
        <w:t xml:space="preserve">Paul, R. 2017. "Welfare Without Borders: Unpacking the Bases of Transnational Social Protection for International Migrants." </w:t>
      </w:r>
      <w:r>
        <w:rPr>
          <w:i/>
          <w:iCs/>
          <w:color w:val="000000"/>
          <w:lang w:val="en-GB"/>
        </w:rPr>
        <w:t xml:space="preserve">Oxford Development Studies 45 </w:t>
      </w:r>
      <w:r>
        <w:rPr>
          <w:color w:val="000000"/>
          <w:lang w:val="en-GB"/>
        </w:rPr>
        <w:t>(1): 33-46.</w:t>
      </w:r>
    </w:p>
    <w:p>
      <w:pPr>
        <w:pStyle w:val="14"/>
        <w:spacing w:line="22" w:lineRule="atLeast"/>
        <w:ind w:firstLine="600" w:firstLineChars="250"/>
        <w:rPr>
          <w:color w:val="000000"/>
          <w:lang w:val="en-GB"/>
        </w:rPr>
      </w:pPr>
      <w:r>
        <w:rPr>
          <w:color w:val="000000"/>
          <w:lang w:val="en-GB"/>
        </w:rPr>
        <w:t xml:space="preserve">Serra Mingot, E. and V. Mazzucato, (2019). Moving for a 'better welfare'? The case of transnational Sudanese families </w:t>
      </w:r>
      <w:r>
        <w:rPr>
          <w:i/>
          <w:iCs/>
          <w:color w:val="000000"/>
          <w:lang w:val="en-GB"/>
        </w:rPr>
        <w:t xml:space="preserve">Global Networks </w:t>
      </w:r>
      <w:r>
        <w:rPr>
          <w:color w:val="000000"/>
          <w:lang w:val="en-GB"/>
        </w:rPr>
        <w:t>19, 2 (2019) 139-157.</w:t>
      </w:r>
    </w:p>
    <w:p>
      <w:pPr>
        <w:pStyle w:val="2"/>
        <w:jc w:val="center"/>
        <w:rPr>
          <w:b/>
          <w:bCs/>
          <w:shd w:val="clear" w:color="auto" w:fill="FFFFFF"/>
          <w:lang w:val="en-GB"/>
        </w:rPr>
      </w:pPr>
    </w:p>
    <w:sectPr>
      <w:headerReference r:id="rId5" w:type="default"/>
      <w:footerReference r:id="rId6" w:type="default"/>
      <w:pgSz w:w="12240" w:h="15840"/>
      <w:pgMar w:top="2016"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66432" behindDoc="1" locked="0" layoutInCell="1" allowOverlap="1">
          <wp:simplePos x="0" y="0"/>
          <wp:positionH relativeFrom="column">
            <wp:posOffset>3583940</wp:posOffset>
          </wp:positionH>
          <wp:positionV relativeFrom="paragraph">
            <wp:posOffset>-196850</wp:posOffset>
          </wp:positionV>
          <wp:extent cx="1259840" cy="273685"/>
          <wp:effectExtent l="0" t="0" r="5080" b="635"/>
          <wp:wrapTight wrapText="bothSides">
            <wp:wrapPolygon>
              <wp:start x="0" y="0"/>
              <wp:lineTo x="0" y="20447"/>
              <wp:lineTo x="21426" y="20447"/>
              <wp:lineTo x="21426" y="0"/>
              <wp:lineTo x="0" y="0"/>
            </wp:wrapPolygon>
          </wp:wrapTight>
          <wp:docPr id="9" name="Picture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9840" cy="273685"/>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column">
            <wp:posOffset>2496820</wp:posOffset>
          </wp:positionH>
          <wp:positionV relativeFrom="paragraph">
            <wp:posOffset>-196850</wp:posOffset>
          </wp:positionV>
          <wp:extent cx="995680" cy="309245"/>
          <wp:effectExtent l="0" t="0" r="10160" b="10795"/>
          <wp:wrapTight wrapText="bothSides">
            <wp:wrapPolygon>
              <wp:start x="0" y="0"/>
              <wp:lineTo x="0" y="20225"/>
              <wp:lineTo x="21159" y="20225"/>
              <wp:lineTo x="211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95680" cy="30924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margin">
            <wp:posOffset>1777365</wp:posOffset>
          </wp:positionH>
          <wp:positionV relativeFrom="paragraph">
            <wp:posOffset>-192405</wp:posOffset>
          </wp:positionV>
          <wp:extent cx="706120" cy="325755"/>
          <wp:effectExtent l="0" t="0" r="10795" b="9525"/>
          <wp:wrapTight wrapText="bothSides">
            <wp:wrapPolygon>
              <wp:start x="5594" y="0"/>
              <wp:lineTo x="1865" y="7074"/>
              <wp:lineTo x="1399" y="20211"/>
              <wp:lineTo x="20978" y="20211"/>
              <wp:lineTo x="20978" y="8084"/>
              <wp:lineTo x="20046" y="6063"/>
              <wp:lineTo x="8858" y="0"/>
              <wp:lineTo x="559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06120" cy="32575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969010</wp:posOffset>
          </wp:positionH>
          <wp:positionV relativeFrom="paragraph">
            <wp:posOffset>-229235</wp:posOffset>
          </wp:positionV>
          <wp:extent cx="854710" cy="295910"/>
          <wp:effectExtent l="0" t="0" r="44450" b="8890"/>
          <wp:wrapTight wrapText="bothSides">
            <wp:wrapPolygon>
              <wp:start x="0" y="0"/>
              <wp:lineTo x="0" y="20858"/>
              <wp:lineTo x="21183" y="20858"/>
              <wp:lineTo x="21183" y="0"/>
              <wp:lineTo x="0" y="0"/>
            </wp:wrapPolygon>
          </wp:wrapTight>
          <wp:docPr id="6" name="Picture 6" descr="O imagine care conține ceas&#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 imagine care conține ceas&#10;&#10;Descriere generată autom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4710" cy="295910"/>
                  </a:xfrm>
                  <a:prstGeom prst="rect">
                    <a:avLst/>
                  </a:prstGeom>
                  <a:noFill/>
                  <a:ln>
                    <a:noFill/>
                  </a:ln>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margin">
                <wp:posOffset>5482590</wp:posOffset>
              </wp:positionH>
              <wp:positionV relativeFrom="paragraph">
                <wp:posOffset>-176530</wp:posOffset>
              </wp:positionV>
              <wp:extent cx="469900" cy="320675"/>
              <wp:effectExtent l="6350" t="6350" r="11430" b="8255"/>
              <wp:wrapNone/>
              <wp:docPr id="12" name="Text Box 12"/>
              <wp:cNvGraphicFramePr/>
              <a:graphic xmlns:a="http://schemas.openxmlformats.org/drawingml/2006/main">
                <a:graphicData uri="http://schemas.microsoft.com/office/word/2010/wordprocessingShape">
                  <wps:wsp>
                    <wps:cNvSpPr txBox="1"/>
                    <wps:spPr>
                      <a:xfrm>
                        <a:off x="0" y="0"/>
                        <a:ext cx="469900" cy="320675"/>
                      </a:xfrm>
                      <a:prstGeom prst="rect">
                        <a:avLst/>
                      </a:prstGeom>
                    </wps:spPr>
                    <wps:style>
                      <a:lnRef idx="2">
                        <a:schemeClr val="accent4"/>
                      </a:lnRef>
                      <a:fillRef idx="1">
                        <a:schemeClr val="lt1"/>
                      </a:fillRef>
                      <a:effectRef idx="0">
                        <a:schemeClr val="accent4"/>
                      </a:effectRef>
                      <a:fontRef idx="minor">
                        <a:schemeClr val="dk1"/>
                      </a:fontRef>
                    </wps:style>
                    <wps:txbx>
                      <w:txbxContent>
                        <w:p>
                          <w:pPr>
                            <w:pStyle w:val="9"/>
                            <w:rPr>
                              <w:sz w:val="20"/>
                              <w:szCs w:val="20"/>
                            </w:rPr>
                          </w:pPr>
                          <w:r>
                            <w:rPr>
                              <w:i/>
                              <w:iCs/>
                              <w:sz w:val="20"/>
                              <w:szCs w:val="20"/>
                            </w:rPr>
                            <w:t xml:space="preserve">Page </w:t>
                          </w:r>
                          <w:r>
                            <w:rPr>
                              <w:i/>
                              <w:iCs/>
                              <w:sz w:val="20"/>
                              <w:szCs w:val="20"/>
                            </w:rPr>
                            <w:fldChar w:fldCharType="begin"/>
                          </w:r>
                          <w:r>
                            <w:rPr>
                              <w:i/>
                              <w:iCs/>
                              <w:sz w:val="20"/>
                              <w:szCs w:val="20"/>
                            </w:rPr>
                            <w:instrText xml:space="preserve"> PAGE  \* MERGEFORMAT </w:instrText>
                          </w:r>
                          <w:r>
                            <w:rPr>
                              <w:i/>
                              <w:iCs/>
                              <w:sz w:val="20"/>
                              <w:szCs w:val="20"/>
                            </w:rPr>
                            <w:fldChar w:fldCharType="separate"/>
                          </w:r>
                          <w:r>
                            <w:rPr>
                              <w:i/>
                              <w:iCs/>
                              <w:sz w:val="20"/>
                              <w:szCs w:val="20"/>
                            </w:rPr>
                            <w:t>1</w:t>
                          </w:r>
                          <w:r>
                            <w:rPr>
                              <w:i/>
                              <w:iCs/>
                              <w:sz w:val="20"/>
                              <w:szCs w:val="20"/>
                            </w:rPr>
                            <w:fldChar w:fldCharType="end"/>
                          </w:r>
                          <w:r>
                            <w:rPr>
                              <w:i/>
                              <w:iCs/>
                              <w:sz w:val="20"/>
                              <w:szCs w:val="20"/>
                            </w:rPr>
                            <w:t xml:space="preserve"> of </w:t>
                          </w:r>
                          <w:r>
                            <w:rPr>
                              <w:i/>
                              <w:iCs/>
                              <w:sz w:val="20"/>
                              <w:szCs w:val="20"/>
                            </w:rPr>
                            <w:fldChar w:fldCharType="begin"/>
                          </w:r>
                          <w:r>
                            <w:rPr>
                              <w:i/>
                              <w:iCs/>
                              <w:sz w:val="20"/>
                              <w:szCs w:val="20"/>
                            </w:rPr>
                            <w:instrText xml:space="preserve"> NUMPAGES  \* MERGEFORMAT </w:instrText>
                          </w:r>
                          <w:r>
                            <w:rPr>
                              <w:i/>
                              <w:iCs/>
                              <w:sz w:val="20"/>
                              <w:szCs w:val="20"/>
                            </w:rPr>
                            <w:fldChar w:fldCharType="separate"/>
                          </w:r>
                          <w:r>
                            <w:rPr>
                              <w:i/>
                              <w:iCs/>
                              <w:sz w:val="20"/>
                              <w:szCs w:val="20"/>
                            </w:rPr>
                            <w:t>16</w:t>
                          </w:r>
                          <w:r>
                            <w:rPr>
                              <w:i/>
                              <w:iCs/>
                              <w:sz w:val="20"/>
                              <w:szCs w:val="20"/>
                            </w:rPr>
                            <w:fldChar w:fldCharType="end"/>
                          </w:r>
                        </w:p>
                      </w:txbxContent>
                    </wps:txbx>
                    <wps:bodyPr rot="0" spcFirstLastPara="0" vertOverflow="overflow" horzOverflow="overflow" vert="horz" wrap="square" lIns="27432"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31.7pt;margin-top:-13.9pt;height:25.25pt;width:37pt;mso-position-horizontal-relative:margin;z-index:251668480;mso-width-relative:page;mso-height-relative:page;" fillcolor="#FFFFFF [3201]" filled="t" stroked="t" coordsize="21600,21600" o:gfxdata="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ZPIUfcAAAACgEAAA8AAAAAAAAAAQAgAAAAIgAAAGRycy9kb3du&#10;cmV2LnhtbFBLAQIUABQAAAAIAIdO4kDRLlAfbQIAAP4EAAAOAAAAAAAAAAEAIAAAACsBAABkcnMv&#10;ZTJvRG9jLnhtbFBLBQYAAAAABgAGAFkBAAAKBgAAAAA=&#10;">
              <v:fill on="t" focussize="0,0"/>
              <v:stroke weight="1pt" color="#FFC000 [3207]" miterlimit="8" joinstyle="miter"/>
              <v:imagedata o:title=""/>
              <o:lock v:ext="edit" aspectratio="f"/>
              <v:textbox inset="0.762mm,0mm,0mm,0mm">
                <w:txbxContent>
                  <w:p>
                    <w:pPr>
                      <w:pStyle w:val="9"/>
                      <w:rPr>
                        <w:sz w:val="20"/>
                        <w:szCs w:val="20"/>
                      </w:rPr>
                    </w:pPr>
                    <w:r>
                      <w:rPr>
                        <w:i/>
                        <w:iCs/>
                        <w:sz w:val="20"/>
                        <w:szCs w:val="20"/>
                      </w:rPr>
                      <w:t xml:space="preserve">Page </w:t>
                    </w:r>
                    <w:r>
                      <w:rPr>
                        <w:i/>
                        <w:iCs/>
                        <w:sz w:val="20"/>
                        <w:szCs w:val="20"/>
                      </w:rPr>
                      <w:fldChar w:fldCharType="begin"/>
                    </w:r>
                    <w:r>
                      <w:rPr>
                        <w:i/>
                        <w:iCs/>
                        <w:sz w:val="20"/>
                        <w:szCs w:val="20"/>
                      </w:rPr>
                      <w:instrText xml:space="preserve"> PAGE  \* MERGEFORMAT </w:instrText>
                    </w:r>
                    <w:r>
                      <w:rPr>
                        <w:i/>
                        <w:iCs/>
                        <w:sz w:val="20"/>
                        <w:szCs w:val="20"/>
                      </w:rPr>
                      <w:fldChar w:fldCharType="separate"/>
                    </w:r>
                    <w:r>
                      <w:rPr>
                        <w:i/>
                        <w:iCs/>
                        <w:sz w:val="20"/>
                        <w:szCs w:val="20"/>
                      </w:rPr>
                      <w:t>1</w:t>
                    </w:r>
                    <w:r>
                      <w:rPr>
                        <w:i/>
                        <w:iCs/>
                        <w:sz w:val="20"/>
                        <w:szCs w:val="20"/>
                      </w:rPr>
                      <w:fldChar w:fldCharType="end"/>
                    </w:r>
                    <w:r>
                      <w:rPr>
                        <w:i/>
                        <w:iCs/>
                        <w:sz w:val="20"/>
                        <w:szCs w:val="20"/>
                      </w:rPr>
                      <w:t xml:space="preserve"> of </w:t>
                    </w:r>
                    <w:r>
                      <w:rPr>
                        <w:i/>
                        <w:iCs/>
                        <w:sz w:val="20"/>
                        <w:szCs w:val="20"/>
                      </w:rPr>
                      <w:fldChar w:fldCharType="begin"/>
                    </w:r>
                    <w:r>
                      <w:rPr>
                        <w:i/>
                        <w:iCs/>
                        <w:sz w:val="20"/>
                        <w:szCs w:val="20"/>
                      </w:rPr>
                      <w:instrText xml:space="preserve"> NUMPAGES  \* MERGEFORMAT </w:instrText>
                    </w:r>
                    <w:r>
                      <w:rPr>
                        <w:i/>
                        <w:iCs/>
                        <w:sz w:val="20"/>
                        <w:szCs w:val="20"/>
                      </w:rPr>
                      <w:fldChar w:fldCharType="separate"/>
                    </w:r>
                    <w:r>
                      <w:rPr>
                        <w:i/>
                        <w:iCs/>
                        <w:sz w:val="20"/>
                        <w:szCs w:val="20"/>
                      </w:rPr>
                      <w:t>16</w:t>
                    </w:r>
                    <w:r>
                      <w:rPr>
                        <w:i/>
                        <w:iCs/>
                        <w:sz w:val="20"/>
                        <w:szCs w:val="20"/>
                      </w:rPr>
                      <w:fldChar w:fldCharType="end"/>
                    </w:r>
                  </w:p>
                </w:txbxContent>
              </v:textbox>
            </v:shape>
          </w:pict>
        </mc:Fallback>
      </mc:AlternateContent>
    </w:r>
    <w:r>
      <w:drawing>
        <wp:anchor distT="0" distB="0" distL="114300" distR="114300" simplePos="0" relativeHeight="251662336" behindDoc="0" locked="0" layoutInCell="1" allowOverlap="1">
          <wp:simplePos x="0" y="0"/>
          <wp:positionH relativeFrom="column">
            <wp:posOffset>39370</wp:posOffset>
          </wp:positionH>
          <wp:positionV relativeFrom="paragraph">
            <wp:posOffset>-241935</wp:posOffset>
          </wp:positionV>
          <wp:extent cx="868680" cy="286385"/>
          <wp:effectExtent l="0" t="0" r="76200" b="33655"/>
          <wp:wrapThrough wrapText="bothSides">
            <wp:wrapPolygon>
              <wp:start x="0" y="0"/>
              <wp:lineTo x="0" y="20690"/>
              <wp:lineTo x="21221" y="20690"/>
              <wp:lineTo x="21221" y="1149"/>
              <wp:lineTo x="606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68680" cy="286385"/>
                  </a:xfrm>
                  <a:prstGeom prst="rect">
                    <a:avLst/>
                  </a:prstGeom>
                  <a:noFill/>
                  <a:ln>
                    <a:noFill/>
                  </a:ln>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ragraph">
                <wp:posOffset>670560</wp:posOffset>
              </wp:positionV>
              <wp:extent cx="7689215" cy="345440"/>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7689300" cy="345600"/>
                      </a:xfrm>
                      <a:prstGeom prst="rect">
                        <a:avLst/>
                      </a:prstGeom>
                      <a:solidFill>
                        <a:schemeClr val="lt1"/>
                      </a:solidFill>
                      <a:ln w="6350">
                        <a:noFill/>
                      </a:ln>
                    </wps:spPr>
                    <wps:txbx>
                      <w:txbxContent>
                        <w:p>
                          <w:pPr>
                            <w:pStyle w:val="14"/>
                            <w:spacing w:before="0" w:beforeAutospacing="0" w:after="0" w:afterAutospacing="0"/>
                            <w:rPr>
                              <w:sz w:val="18"/>
                              <w:szCs w:val="18"/>
                            </w:rPr>
                          </w:pPr>
                          <w:r>
                            <w:rPr>
                              <w:color w:val="000000"/>
                              <w:sz w:val="18"/>
                              <w:szCs w:val="18"/>
                            </w:rPr>
                            <w:t>CHILDREN LEFT BEHIND BY LABOUR MIGRATION: SUPPORTING MOLDOVAN AND UKRAINIAN TRANSNATIONAL FAMILIES IN THE EU (CASTLE) ICMPD/2021/MPF-357-004</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52.8pt;height:27.2pt;width:605.45pt;mso-position-horizontal-relative:page;z-index:251667456;mso-width-relative:page;mso-height-relative:page;" fillcolor="#FFFFFF [3201]" filled="t" stroked="f" coordsize="21600,21600" o:gfxdata="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UbgpDVAAAACwEAAA8AAAAAAAAAAQAgAAAAIgAAAGRycy9k&#10;b3ducmV2LnhtbFBLAQIUABQAAAAIAIdO4kDAQITAPgIAAJAEAAAOAAAAAAAAAAEAIAAAACQBAABk&#10;cnMvZTJvRG9jLnhtbFBLBQYAAAAABgAGAFkBAADUBQAAAAA=&#10;">
              <v:fill on="t" focussize="0,0"/>
              <v:stroke on="f" weight="0.5pt"/>
              <v:imagedata o:title=""/>
              <o:lock v:ext="edit" aspectratio="f"/>
              <v:textbox>
                <w:txbxContent>
                  <w:p>
                    <w:pPr>
                      <w:pStyle w:val="14"/>
                      <w:spacing w:before="0" w:beforeAutospacing="0" w:after="0" w:afterAutospacing="0"/>
                      <w:rPr>
                        <w:sz w:val="18"/>
                        <w:szCs w:val="18"/>
                      </w:rPr>
                    </w:pPr>
                    <w:r>
                      <w:rPr>
                        <w:color w:val="000000"/>
                        <w:sz w:val="18"/>
                        <w:szCs w:val="18"/>
                      </w:rPr>
                      <w:t>CHILDREN LEFT BEHIND BY LABOUR MIGRATION: SUPPORTING MOLDOVAN AND UKRAINIAN TRANSNATIONAL FAMILIES IN THE EU (CASTLE) ICMPD/2021/MPF-357-004</w:t>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11"/>
        <w:rPr>
          <w:lang w:val="hu-HU"/>
        </w:rPr>
      </w:pPr>
      <w:r>
        <w:rPr>
          <w:rStyle w:val="10"/>
        </w:rPr>
        <w:footnoteRef/>
      </w:r>
      <w:r>
        <w:rPr>
          <w:lang w:val="ro-RO"/>
        </w:rPr>
        <w:t xml:space="preserve"> Thanks</w:t>
      </w:r>
      <w:r>
        <w:rPr>
          <w:lang w:val="hu-HU"/>
        </w:rPr>
        <w:t xml:space="preserve"> to the </w:t>
      </w:r>
      <w:r>
        <w:rPr>
          <w:lang w:val="ro-RO"/>
        </w:rPr>
        <w:t xml:space="preserve">CASTLE team members for their feedback on the draft of this material: </w:t>
      </w:r>
      <w:r>
        <w:rPr>
          <w:lang w:val="hu-HU"/>
        </w:rPr>
        <w:t xml:space="preserve">Iulia Elena Hossu, </w:t>
      </w:r>
      <w:r>
        <w:rPr>
          <w:lang w:val="ro-RO"/>
        </w:rPr>
        <w:t xml:space="preserve">Mara Birou, Daniela Angi, </w:t>
      </w:r>
      <w:r>
        <w:rPr>
          <w:lang w:val="hu-HU"/>
        </w:rPr>
        <w:t>Éva László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1312" behindDoc="1" locked="0" layoutInCell="1" allowOverlap="1">
          <wp:simplePos x="0" y="0"/>
          <wp:positionH relativeFrom="column">
            <wp:posOffset>3958590</wp:posOffset>
          </wp:positionH>
          <wp:positionV relativeFrom="paragraph">
            <wp:posOffset>-22860</wp:posOffset>
          </wp:positionV>
          <wp:extent cx="1791335" cy="619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91170" cy="61920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margin">
            <wp:posOffset>2254885</wp:posOffset>
          </wp:positionH>
          <wp:positionV relativeFrom="paragraph">
            <wp:posOffset>34290</wp:posOffset>
          </wp:positionV>
          <wp:extent cx="1725930" cy="575945"/>
          <wp:effectExtent l="0" t="0" r="11430" b="3175"/>
          <wp:wrapThrough wrapText="bothSides">
            <wp:wrapPolygon>
              <wp:start x="0" y="0"/>
              <wp:lineTo x="0" y="21148"/>
              <wp:lineTo x="21362" y="21148"/>
              <wp:lineTo x="2136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725930" cy="575945"/>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-13970</wp:posOffset>
          </wp:positionH>
          <wp:positionV relativeFrom="paragraph">
            <wp:posOffset>-13335</wp:posOffset>
          </wp:positionV>
          <wp:extent cx="2367915" cy="554355"/>
          <wp:effectExtent l="0" t="0" r="9525" b="9525"/>
          <wp:wrapNone/>
          <wp:docPr id="2" name="Picture 2"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Co-funded by the EU_P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2367915" cy="5543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24"/>
    <w:rsid w:val="00005C1A"/>
    <w:rsid w:val="00023530"/>
    <w:rsid w:val="00036B3A"/>
    <w:rsid w:val="00044CD3"/>
    <w:rsid w:val="000562AB"/>
    <w:rsid w:val="00065C12"/>
    <w:rsid w:val="000849F4"/>
    <w:rsid w:val="000B2908"/>
    <w:rsid w:val="000C7DF5"/>
    <w:rsid w:val="000D0641"/>
    <w:rsid w:val="00105A64"/>
    <w:rsid w:val="00110E01"/>
    <w:rsid w:val="00131953"/>
    <w:rsid w:val="00131B32"/>
    <w:rsid w:val="001345EB"/>
    <w:rsid w:val="00175BFC"/>
    <w:rsid w:val="001A0F90"/>
    <w:rsid w:val="001A77D8"/>
    <w:rsid w:val="001C655E"/>
    <w:rsid w:val="001D5D96"/>
    <w:rsid w:val="001E6B8E"/>
    <w:rsid w:val="00206C0A"/>
    <w:rsid w:val="0021032E"/>
    <w:rsid w:val="002115B1"/>
    <w:rsid w:val="00220DDD"/>
    <w:rsid w:val="00234BA3"/>
    <w:rsid w:val="002A0FBB"/>
    <w:rsid w:val="002C0717"/>
    <w:rsid w:val="00320E17"/>
    <w:rsid w:val="00326C7A"/>
    <w:rsid w:val="00357294"/>
    <w:rsid w:val="0037218B"/>
    <w:rsid w:val="00375CAB"/>
    <w:rsid w:val="003B0900"/>
    <w:rsid w:val="003B4E29"/>
    <w:rsid w:val="003B64FC"/>
    <w:rsid w:val="003C30B9"/>
    <w:rsid w:val="003C78C4"/>
    <w:rsid w:val="00420FBC"/>
    <w:rsid w:val="004500BB"/>
    <w:rsid w:val="004549F2"/>
    <w:rsid w:val="00455304"/>
    <w:rsid w:val="00463E66"/>
    <w:rsid w:val="00482624"/>
    <w:rsid w:val="00483A5F"/>
    <w:rsid w:val="004D153F"/>
    <w:rsid w:val="004E5CDB"/>
    <w:rsid w:val="004F1B61"/>
    <w:rsid w:val="00544B80"/>
    <w:rsid w:val="0058042D"/>
    <w:rsid w:val="005815DD"/>
    <w:rsid w:val="00591B16"/>
    <w:rsid w:val="005B3F38"/>
    <w:rsid w:val="005E3AD6"/>
    <w:rsid w:val="006156D9"/>
    <w:rsid w:val="0062658A"/>
    <w:rsid w:val="0066279B"/>
    <w:rsid w:val="00690602"/>
    <w:rsid w:val="006A047A"/>
    <w:rsid w:val="006B1B3B"/>
    <w:rsid w:val="006D2B72"/>
    <w:rsid w:val="006E78E9"/>
    <w:rsid w:val="0071794F"/>
    <w:rsid w:val="0074209B"/>
    <w:rsid w:val="007573A7"/>
    <w:rsid w:val="007734C4"/>
    <w:rsid w:val="00781113"/>
    <w:rsid w:val="00787DC7"/>
    <w:rsid w:val="007B34C9"/>
    <w:rsid w:val="007D616B"/>
    <w:rsid w:val="007F53F0"/>
    <w:rsid w:val="00806BBF"/>
    <w:rsid w:val="00816763"/>
    <w:rsid w:val="0081725F"/>
    <w:rsid w:val="00836B37"/>
    <w:rsid w:val="0084055F"/>
    <w:rsid w:val="0084799B"/>
    <w:rsid w:val="00855F2F"/>
    <w:rsid w:val="00883F1A"/>
    <w:rsid w:val="008C2B70"/>
    <w:rsid w:val="008D20AF"/>
    <w:rsid w:val="00902DC6"/>
    <w:rsid w:val="00907015"/>
    <w:rsid w:val="0092261E"/>
    <w:rsid w:val="00930001"/>
    <w:rsid w:val="00932279"/>
    <w:rsid w:val="00950C9A"/>
    <w:rsid w:val="00950D30"/>
    <w:rsid w:val="00993C74"/>
    <w:rsid w:val="009B2430"/>
    <w:rsid w:val="009C41B8"/>
    <w:rsid w:val="009C6B72"/>
    <w:rsid w:val="009D190B"/>
    <w:rsid w:val="009D19CA"/>
    <w:rsid w:val="00A02B29"/>
    <w:rsid w:val="00A02DA6"/>
    <w:rsid w:val="00A14896"/>
    <w:rsid w:val="00A2554C"/>
    <w:rsid w:val="00A31B36"/>
    <w:rsid w:val="00A45BBE"/>
    <w:rsid w:val="00A6230C"/>
    <w:rsid w:val="00AA41CF"/>
    <w:rsid w:val="00AA4360"/>
    <w:rsid w:val="00AB28A8"/>
    <w:rsid w:val="00AD33FB"/>
    <w:rsid w:val="00AE1954"/>
    <w:rsid w:val="00AE3899"/>
    <w:rsid w:val="00B03365"/>
    <w:rsid w:val="00B11060"/>
    <w:rsid w:val="00B33ABC"/>
    <w:rsid w:val="00B546DC"/>
    <w:rsid w:val="00B720DC"/>
    <w:rsid w:val="00B7244E"/>
    <w:rsid w:val="00B84962"/>
    <w:rsid w:val="00BC00B0"/>
    <w:rsid w:val="00BF04FA"/>
    <w:rsid w:val="00BF14D8"/>
    <w:rsid w:val="00C00B14"/>
    <w:rsid w:val="00C21DE9"/>
    <w:rsid w:val="00C416CD"/>
    <w:rsid w:val="00C60D34"/>
    <w:rsid w:val="00C66760"/>
    <w:rsid w:val="00C94F6A"/>
    <w:rsid w:val="00CA070E"/>
    <w:rsid w:val="00CC40B5"/>
    <w:rsid w:val="00CD3E2D"/>
    <w:rsid w:val="00CD69E0"/>
    <w:rsid w:val="00D14A32"/>
    <w:rsid w:val="00D417FF"/>
    <w:rsid w:val="00D43CE4"/>
    <w:rsid w:val="00D5014C"/>
    <w:rsid w:val="00D704BC"/>
    <w:rsid w:val="00D75029"/>
    <w:rsid w:val="00D84325"/>
    <w:rsid w:val="00DA1F26"/>
    <w:rsid w:val="00DA7B43"/>
    <w:rsid w:val="00DC2AF8"/>
    <w:rsid w:val="00DD40C9"/>
    <w:rsid w:val="00DF4314"/>
    <w:rsid w:val="00E06C18"/>
    <w:rsid w:val="00E06C89"/>
    <w:rsid w:val="00E33E02"/>
    <w:rsid w:val="00E468C8"/>
    <w:rsid w:val="00E74BE0"/>
    <w:rsid w:val="00E81EA0"/>
    <w:rsid w:val="00E83647"/>
    <w:rsid w:val="00E85D85"/>
    <w:rsid w:val="00E93C0A"/>
    <w:rsid w:val="00EA403B"/>
    <w:rsid w:val="00EA6C9D"/>
    <w:rsid w:val="00EE78E8"/>
    <w:rsid w:val="00F01F9D"/>
    <w:rsid w:val="00F04E70"/>
    <w:rsid w:val="00F147AA"/>
    <w:rsid w:val="00F23880"/>
    <w:rsid w:val="00F2759F"/>
    <w:rsid w:val="00F300B4"/>
    <w:rsid w:val="00F323FB"/>
    <w:rsid w:val="00F45C15"/>
    <w:rsid w:val="00F4723F"/>
    <w:rsid w:val="00F514D2"/>
    <w:rsid w:val="00F552CC"/>
    <w:rsid w:val="00F632BF"/>
    <w:rsid w:val="00F809AC"/>
    <w:rsid w:val="00FA67E0"/>
    <w:rsid w:val="00FA7071"/>
    <w:rsid w:val="00FA7CDA"/>
    <w:rsid w:val="00FB2947"/>
    <w:rsid w:val="00FC0541"/>
    <w:rsid w:val="00FC06FD"/>
    <w:rsid w:val="00FC30EA"/>
    <w:rsid w:val="00FC35D1"/>
    <w:rsid w:val="00FD0107"/>
    <w:rsid w:val="075308A0"/>
    <w:rsid w:val="0BEC20AD"/>
    <w:rsid w:val="0F895414"/>
    <w:rsid w:val="13AE133F"/>
    <w:rsid w:val="3A643371"/>
    <w:rsid w:val="4FB540B9"/>
    <w:rsid w:val="5C6F375D"/>
    <w:rsid w:val="5CF32DDC"/>
    <w:rsid w:val="60713EB7"/>
    <w:rsid w:val="628E6724"/>
    <w:rsid w:val="64490F0A"/>
    <w:rsid w:val="647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pPr>
      <w:spacing w:after="0" w:line="240" w:lineRule="auto"/>
    </w:pPr>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29"/>
    <w:unhideWhenUsed/>
    <w:qFormat/>
    <w:uiPriority w:val="0"/>
    <w:pPr>
      <w:spacing w:line="240" w:lineRule="auto"/>
    </w:pPr>
    <w:rPr>
      <w:sz w:val="20"/>
      <w:szCs w:val="20"/>
    </w:rPr>
  </w:style>
  <w:style w:type="paragraph" w:styleId="8">
    <w:name w:val="annotation subject"/>
    <w:basedOn w:val="7"/>
    <w:next w:val="7"/>
    <w:link w:val="30"/>
    <w:semiHidden/>
    <w:unhideWhenUsed/>
    <w:qFormat/>
    <w:uiPriority w:val="99"/>
    <w:rPr>
      <w:b/>
      <w:bCs/>
    </w:rPr>
  </w:style>
  <w:style w:type="paragraph" w:styleId="9">
    <w:name w:val="footer"/>
    <w:basedOn w:val="1"/>
    <w:link w:val="17"/>
    <w:unhideWhenUsed/>
    <w:qFormat/>
    <w:uiPriority w:val="99"/>
    <w:pPr>
      <w:tabs>
        <w:tab w:val="center" w:pos="4680"/>
        <w:tab w:val="right" w:pos="9360"/>
      </w:tabs>
      <w:spacing w:after="0" w:line="240" w:lineRule="auto"/>
    </w:pPr>
  </w:style>
  <w:style w:type="character" w:styleId="10">
    <w:name w:val="footnote reference"/>
    <w:basedOn w:val="3"/>
    <w:semiHidden/>
    <w:unhideWhenUsed/>
    <w:qFormat/>
    <w:uiPriority w:val="0"/>
    <w:rPr>
      <w:vertAlign w:val="superscript"/>
    </w:rPr>
  </w:style>
  <w:style w:type="paragraph" w:styleId="11">
    <w:name w:val="footnote text"/>
    <w:basedOn w:val="1"/>
    <w:link w:val="31"/>
    <w:semiHidden/>
    <w:unhideWhenUsed/>
    <w:qFormat/>
    <w:uiPriority w:val="0"/>
    <w:pPr>
      <w:snapToGrid w:val="0"/>
      <w:spacing w:after="0" w:line="240" w:lineRule="auto"/>
    </w:pPr>
    <w:rPr>
      <w:rFonts w:eastAsiaTheme="minorEastAsia"/>
      <w:sz w:val="18"/>
      <w:szCs w:val="18"/>
      <w:lang w:eastAsia="zh-CN"/>
    </w:rPr>
  </w:style>
  <w:style w:type="paragraph" w:styleId="12">
    <w:name w:val="header"/>
    <w:basedOn w:val="1"/>
    <w:link w:val="16"/>
    <w:unhideWhenUsed/>
    <w:qFormat/>
    <w:uiPriority w:val="99"/>
    <w:pPr>
      <w:tabs>
        <w:tab w:val="center" w:pos="4680"/>
        <w:tab w:val="right" w:pos="9360"/>
      </w:tabs>
      <w:spacing w:after="0" w:line="240" w:lineRule="auto"/>
    </w:pPr>
  </w:style>
  <w:style w:type="character" w:styleId="13">
    <w:name w:val="Hyperlink"/>
    <w:basedOn w:val="3"/>
    <w:semiHidden/>
    <w:unhideWhenUsed/>
    <w:qFormat/>
    <w:uiPriority w:val="99"/>
    <w:rPr>
      <w:color w:val="0000FF"/>
      <w:u w:val="single"/>
    </w:rPr>
  </w:style>
  <w:style w:type="paragraph" w:styleId="14">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1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er Char"/>
    <w:basedOn w:val="3"/>
    <w:link w:val="12"/>
    <w:qFormat/>
    <w:uiPriority w:val="99"/>
  </w:style>
  <w:style w:type="character" w:customStyle="1" w:styleId="17">
    <w:name w:val="Footer Char"/>
    <w:basedOn w:val="3"/>
    <w:link w:val="9"/>
    <w:qFormat/>
    <w:uiPriority w:val="99"/>
  </w:style>
  <w:style w:type="character" w:customStyle="1" w:styleId="18">
    <w:name w:val="Heading 1 Char"/>
    <w:basedOn w:val="3"/>
    <w:link w:val="2"/>
    <w:qFormat/>
    <w:uiPriority w:val="9"/>
    <w:rPr>
      <w:rFonts w:asciiTheme="majorHAnsi" w:hAnsiTheme="majorHAnsi" w:eastAsiaTheme="majorEastAsia" w:cstheme="majorBidi"/>
      <w:color w:val="2F5597" w:themeColor="accent1" w:themeShade="BF"/>
      <w:sz w:val="32"/>
      <w:szCs w:val="32"/>
    </w:rPr>
  </w:style>
  <w:style w:type="paragraph" w:styleId="19">
    <w:name w:val="List Paragraph"/>
    <w:basedOn w:val="1"/>
    <w:qFormat/>
    <w:uiPriority w:val="34"/>
    <w:pPr>
      <w:ind w:left="720"/>
      <w:contextualSpacing/>
    </w:pPr>
  </w:style>
  <w:style w:type="table" w:customStyle="1" w:styleId="20">
    <w:name w:val="Table Grid Light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1">
    <w:name w:val="Plain Table 11"/>
    <w:basedOn w:val="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2">
    <w:name w:val="Plain Table 21"/>
    <w:basedOn w:val="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3">
    <w:name w:val="Plain Table 31"/>
    <w:basedOn w:val="4"/>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4">
    <w:name w:val="Plain Table 41"/>
    <w:basedOn w:val="4"/>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
    <w:name w:val="Plain Table 51"/>
    <w:basedOn w:val="4"/>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
    <w:name w:val="Grid Table 1 Light1"/>
    <w:basedOn w:val="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7">
    <w:name w:val="Grid Table 1 Light - Accent 51"/>
    <w:basedOn w:val="4"/>
    <w:qFormat/>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character" w:customStyle="1" w:styleId="28">
    <w:name w:val="Balloon Text Char"/>
    <w:basedOn w:val="3"/>
    <w:link w:val="5"/>
    <w:semiHidden/>
    <w:qFormat/>
    <w:uiPriority w:val="99"/>
    <w:rPr>
      <w:rFonts w:ascii="Segoe UI" w:hAnsi="Segoe UI" w:cs="Segoe UI"/>
      <w:sz w:val="18"/>
      <w:szCs w:val="18"/>
    </w:rPr>
  </w:style>
  <w:style w:type="character" w:customStyle="1" w:styleId="29">
    <w:name w:val="Comment Text Char"/>
    <w:basedOn w:val="3"/>
    <w:link w:val="7"/>
    <w:qFormat/>
    <w:uiPriority w:val="0"/>
    <w:rPr>
      <w:sz w:val="20"/>
      <w:szCs w:val="20"/>
    </w:rPr>
  </w:style>
  <w:style w:type="character" w:customStyle="1" w:styleId="30">
    <w:name w:val="Comment Subject Char"/>
    <w:basedOn w:val="29"/>
    <w:link w:val="8"/>
    <w:semiHidden/>
    <w:qFormat/>
    <w:uiPriority w:val="99"/>
    <w:rPr>
      <w:b/>
      <w:bCs/>
      <w:sz w:val="20"/>
      <w:szCs w:val="20"/>
    </w:rPr>
  </w:style>
  <w:style w:type="character" w:customStyle="1" w:styleId="31">
    <w:name w:val="Footnote Text Char"/>
    <w:basedOn w:val="3"/>
    <w:link w:val="11"/>
    <w:semiHidden/>
    <w:qFormat/>
    <w:uiPriority w:val="0"/>
    <w:rPr>
      <w:rFonts w:asciiTheme="minorHAnsi" w:hAnsiTheme="minorHAnsi" w:eastAsiaTheme="minorEastAsia" w:cstheme="minorBidi"/>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8.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5" Type="http://schemas.openxmlformats.org/officeDocument/2006/relationships/image" Target="media/image8.png"/><Relationship Id="rId4" Type="http://schemas.openxmlformats.org/officeDocument/2006/relationships/image" Target="media/image7.jpeg"/><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3396</Words>
  <Characters>19360</Characters>
  <Lines>161</Lines>
  <Paragraphs>45</Paragraphs>
  <TotalTime>5</TotalTime>
  <ScaleCrop>false</ScaleCrop>
  <LinksUpToDate>false</LinksUpToDate>
  <CharactersWithSpaces>22711</CharactersWithSpaces>
  <Application>WPS Office_12.2.0.13215_F1E327BC-269C-435d-A152-05C5408002CA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2023-08-14T10:09:00Z</dcterms:created>
  <dc:creator>Alina Barbua</dc:creator>
  <cp:keywords>, docId:1A210C4CE8418BAC36E548B0B7562B1E</cp:keywords>
  <cp:lastModifiedBy>Aron Telegdi-Csetri</cp:lastModifiedBy>
  <cp:lastPrinted>2022-12-29T14:33:00Z</cp:lastPrinted>
  <dcterms:modified xsi:type="dcterms:W3CDTF">2023-09-27T06:39:41Z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8D2D418FACE147989C1094FE33930C5F</vt:lpwstr>
  </property>
  <property fmtid="{D5CDD505-2E9C-101B-9397-08002B2CF9AE}" pid="4" name="GrammarlyDocumentId">
    <vt:lpwstr>177c5528238682be9c05ba4098b42a2a77fa943d4b9ca5ab6f7f3e4d19cbf07b</vt:lpwstr>
  </property>
</Properties>
</file>