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45401" w14:textId="77777777" w:rsidR="00796010" w:rsidRDefault="00796010" w:rsidP="006015E6">
      <w:pPr>
        <w:pStyle w:val="Title"/>
        <w:rPr>
          <w:rFonts w:ascii="Times New Roman" w:hAnsi="Times New Roman" w:cs="Times New Roman"/>
          <w:b/>
          <w:color w:val="000000" w:themeColor="text1"/>
          <w:sz w:val="28"/>
          <w:szCs w:val="28"/>
        </w:rPr>
      </w:pPr>
    </w:p>
    <w:p w14:paraId="5EF95FED" w14:textId="6E79CEED" w:rsidR="00317EA4" w:rsidRPr="00797ADA" w:rsidRDefault="00D311C8" w:rsidP="00317EA4">
      <w:pPr>
        <w:pStyle w:val="Title"/>
        <w:jc w:val="center"/>
        <w:rPr>
          <w:rFonts w:ascii="Times New Roman" w:hAnsi="Times New Roman" w:cs="Times New Roman"/>
          <w:b/>
          <w:i/>
          <w:iCs/>
          <w:color w:val="31849B" w:themeColor="accent5" w:themeShade="BF"/>
          <w:sz w:val="28"/>
          <w:szCs w:val="28"/>
        </w:rPr>
      </w:pPr>
      <w:r w:rsidRPr="007D453B">
        <w:rPr>
          <w:rFonts w:ascii="Times New Roman" w:hAnsi="Times New Roman" w:cs="Times New Roman"/>
          <w:b/>
          <w:color w:val="31849B" w:themeColor="accent5" w:themeShade="BF"/>
          <w:sz w:val="28"/>
          <w:szCs w:val="28"/>
        </w:rPr>
        <w:t>O analiză a politicilor publice privind reintegrarea migranților reveniți în Republica Moldo</w:t>
      </w:r>
      <w:r w:rsidR="00317EA4" w:rsidRPr="007D453B">
        <w:rPr>
          <w:rFonts w:ascii="Times New Roman" w:hAnsi="Times New Roman" w:cs="Times New Roman"/>
          <w:b/>
          <w:color w:val="31849B" w:themeColor="accent5" w:themeShade="BF"/>
          <w:sz w:val="28"/>
          <w:szCs w:val="28"/>
        </w:rPr>
        <w:t>va</w:t>
      </w:r>
    </w:p>
    <w:p w14:paraId="394F7DBF" w14:textId="3803CF0C" w:rsidR="00797ADA" w:rsidRPr="00797ADA" w:rsidRDefault="00797ADA" w:rsidP="00797ADA">
      <w:pPr>
        <w:rPr>
          <w:i/>
          <w:iCs/>
        </w:rPr>
      </w:pPr>
      <w:r w:rsidRPr="00797ADA">
        <w:rPr>
          <w:i/>
          <w:iCs/>
        </w:rPr>
        <w:t>Editor: Mara Birou</w:t>
      </w:r>
    </w:p>
    <w:p w14:paraId="56B8F843" w14:textId="179D59D6" w:rsidR="00797ADA" w:rsidRDefault="00797ADA" w:rsidP="00797ADA">
      <w:pPr>
        <w:rPr>
          <w:i/>
          <w:iCs/>
        </w:rPr>
      </w:pPr>
      <w:r w:rsidRPr="00797ADA">
        <w:rPr>
          <w:i/>
          <w:iCs/>
        </w:rPr>
        <w:t>Autori: Mara Birou, Stela Leonti, Dorin Vaculovschi, Marina Popa, Raisa Dogaru</w:t>
      </w:r>
    </w:p>
    <w:p w14:paraId="40153721" w14:textId="77777777" w:rsidR="00797ADA" w:rsidRPr="00797ADA" w:rsidRDefault="00797ADA" w:rsidP="00797ADA">
      <w:pPr>
        <w:rPr>
          <w:i/>
          <w:iCs/>
        </w:rPr>
      </w:pPr>
    </w:p>
    <w:p w14:paraId="1FE1E1FD" w14:textId="77777777" w:rsidR="00CA253F" w:rsidRPr="007D453B" w:rsidRDefault="008130E6">
      <w:pPr>
        <w:spacing w:before="240"/>
        <w:rPr>
          <w:rFonts w:ascii="Times New Roman" w:eastAsia="Times New Roman" w:hAnsi="Times New Roman" w:cs="Times New Roman"/>
          <w:b/>
          <w:bCs/>
          <w:color w:val="31849B" w:themeColor="accent5" w:themeShade="BF"/>
          <w:sz w:val="24"/>
          <w:szCs w:val="24"/>
        </w:rPr>
      </w:pPr>
      <w:r w:rsidRPr="007D453B">
        <w:rPr>
          <w:rFonts w:ascii="Times New Roman" w:eastAsia="Times New Roman" w:hAnsi="Times New Roman" w:cs="Times New Roman"/>
          <w:b/>
          <w:bCs/>
          <w:color w:val="31849B" w:themeColor="accent5" w:themeShade="BF"/>
          <w:sz w:val="24"/>
          <w:szCs w:val="24"/>
        </w:rPr>
        <w:t>1.  Introducere și context</w:t>
      </w:r>
    </w:p>
    <w:p w14:paraId="37A7670D" w14:textId="6BF39878" w:rsidR="00D311C8" w:rsidRPr="00F44B81" w:rsidRDefault="00D311C8"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În prezent, Republica Moldova poate fi considerată o țară cu cea mai mare intensitate a migrației internaționale de muncă dintre țările europene. Estimările Organizației Internaționale pentru Migrație indică faptul că un sfert dintre cetățenii moldoveni locuiesc în străinătate cu șederi mai mult sau mai puțin permanente. La aceștia se pot adăuga cei aproximativ 350.000 de cetățeni aflați în migrație de scurtă durată pentru muncă</w:t>
      </w:r>
      <w:r w:rsidR="00422400">
        <w:rPr>
          <w:rFonts w:ascii="Times New Roman" w:eastAsia="Times New Roman" w:hAnsi="Times New Roman" w:cs="Times New Roman"/>
          <w:sz w:val="24"/>
          <w:szCs w:val="24"/>
        </w:rPr>
        <w:t xml:space="preserve"> </w:t>
      </w:r>
      <w:r w:rsidR="00422400" w:rsidRPr="00422400">
        <w:rPr>
          <w:rFonts w:ascii="Times New Roman" w:eastAsia="Times New Roman" w:hAnsi="Times New Roman" w:cs="Times New Roman"/>
          <w:sz w:val="24"/>
          <w:szCs w:val="24"/>
        </w:rPr>
        <w:t>(</w:t>
      </w:r>
      <w:r w:rsidR="00422400" w:rsidRPr="00422400">
        <w:rPr>
          <w:rFonts w:ascii="Times New Roman" w:hAnsi="Times New Roman" w:cs="Times New Roman"/>
          <w:sz w:val="24"/>
          <w:szCs w:val="24"/>
        </w:rPr>
        <w:t>World Migration Report</w:t>
      </w:r>
      <w:r w:rsidR="00201F1E">
        <w:rPr>
          <w:rFonts w:ascii="Times New Roman" w:hAnsi="Times New Roman" w:cs="Times New Roman"/>
          <w:sz w:val="24"/>
          <w:szCs w:val="24"/>
        </w:rPr>
        <w:t>,</w:t>
      </w:r>
      <w:r w:rsidR="00422400" w:rsidRPr="00422400">
        <w:rPr>
          <w:rFonts w:ascii="Times New Roman" w:hAnsi="Times New Roman" w:cs="Times New Roman"/>
          <w:sz w:val="24"/>
          <w:szCs w:val="24"/>
        </w:rPr>
        <w:t xml:space="preserve"> 2024</w:t>
      </w:r>
      <w:r w:rsidR="00422400">
        <w:t>)</w:t>
      </w:r>
      <w:r w:rsidRPr="00F44B81">
        <w:rPr>
          <w:rFonts w:ascii="Times New Roman" w:eastAsia="Times New Roman" w:hAnsi="Times New Roman" w:cs="Times New Roman"/>
          <w:sz w:val="24"/>
          <w:szCs w:val="24"/>
        </w:rPr>
        <w:t>.</w:t>
      </w:r>
    </w:p>
    <w:p w14:paraId="2C2923C8" w14:textId="77777777" w:rsidR="00D311C8" w:rsidRPr="00F44B81" w:rsidRDefault="00D311C8"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 xml:space="preserve">Intensificarea migrației internaționale de muncă din Republica Moldova a început încă din 1998, fiind determinată de mai mulți factori </w:t>
      </w:r>
      <w:r w:rsidR="00347522" w:rsidRPr="00F44B81">
        <w:rPr>
          <w:rFonts w:ascii="Times New Roman" w:eastAsia="Times New Roman" w:hAnsi="Times New Roman" w:cs="Times New Roman"/>
          <w:sz w:val="24"/>
          <w:szCs w:val="24"/>
        </w:rPr>
        <w:t>precum</w:t>
      </w:r>
      <w:r w:rsidRPr="00F44B81">
        <w:rPr>
          <w:rFonts w:ascii="Times New Roman" w:eastAsia="Times New Roman" w:hAnsi="Times New Roman" w:cs="Times New Roman"/>
          <w:sz w:val="24"/>
          <w:szCs w:val="24"/>
        </w:rPr>
        <w:t>: consolidarea raporturilor economice de piață la care populația Republicii Moldova încă nu s-a adaptat, procesele de privatizare a întreprinderilor, în urma cărora s-au declanșat disponibilizări în masă ale lucrătorilor, reformele din agricultură, criza economică din Federația Rusă care a condus la devalorizarea leului moldovenesc</w:t>
      </w:r>
      <w:r w:rsidR="00347522" w:rsidRPr="00F44B81">
        <w:rPr>
          <w:rFonts w:ascii="Times New Roman" w:eastAsia="Times New Roman" w:hAnsi="Times New Roman" w:cs="Times New Roman"/>
          <w:sz w:val="24"/>
          <w:szCs w:val="24"/>
        </w:rPr>
        <w:t xml:space="preserve">, </w:t>
      </w:r>
      <w:r w:rsidRPr="00F44B81">
        <w:rPr>
          <w:rFonts w:ascii="Times New Roman" w:eastAsia="Times New Roman" w:hAnsi="Times New Roman" w:cs="Times New Roman"/>
          <w:sz w:val="24"/>
          <w:szCs w:val="24"/>
        </w:rPr>
        <w:t xml:space="preserve">extinderea puternică a sărăciei etc. Oamenii plecau la muncă peste hotare pentru a depăși situația de sărăcie a lor și a familiei lor în care se aflau ei. </w:t>
      </w:r>
    </w:p>
    <w:p w14:paraId="414E8320" w14:textId="28B89657" w:rsidR="00D311C8" w:rsidRPr="00F44B81" w:rsidRDefault="00D311C8"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În prezent, peste hotarele republicii se află circa o treime din potențialul uman al țării. Datele Recensământului din 2024</w:t>
      </w:r>
      <w:r w:rsidR="007A5239">
        <w:rPr>
          <w:rStyle w:val="FootnoteReference"/>
          <w:rFonts w:ascii="Times New Roman" w:eastAsia="Times New Roman" w:hAnsi="Times New Roman" w:cs="Times New Roman"/>
          <w:sz w:val="24"/>
          <w:szCs w:val="24"/>
        </w:rPr>
        <w:footnoteReference w:id="1"/>
      </w:r>
      <w:r w:rsidRPr="00F44B81">
        <w:rPr>
          <w:rFonts w:ascii="Times New Roman" w:eastAsia="Times New Roman" w:hAnsi="Times New Roman" w:cs="Times New Roman"/>
          <w:sz w:val="24"/>
          <w:szCs w:val="24"/>
        </w:rPr>
        <w:t xml:space="preserve"> au arătat un declin al numărului populației de circa 1,1 milioane persoane, de la circa 3,4 milioane în 2000 până la 2,381 milioane în 2024 , cauza principală fiind anume migrația de muncă. Se constată că, pleacă, de regulă, persoane tinere. Cu toate că pe parcursul perioadei de referință numărul femeilor migrante este în creștere, în totalul persoanelor migrante predomină bărbații într-un procent de 56% comparativ cu femeile (44%) în 2023. Trebuie menționat faptul, că plecarea persoanelor peste hotare în căutarea unui loc de muncă din mediul rural este cu mult mai intensă comparativ migrația de muncă din mediul urban, constituind în 2024 </w:t>
      </w:r>
      <w:r w:rsidRPr="00F44B81">
        <w:rPr>
          <w:rFonts w:ascii="Times New Roman" w:eastAsia="Times New Roman" w:hAnsi="Times New Roman" w:cs="Times New Roman"/>
          <w:sz w:val="24"/>
          <w:szCs w:val="24"/>
        </w:rPr>
        <w:lastRenderedPageBreak/>
        <w:t>- 62% din totalul persoanelor plecate, aceasta fiind condiționată, în primul rând, de lipsa oportunităților de angajare în mediul rural.</w:t>
      </w:r>
    </w:p>
    <w:p w14:paraId="01DA06E2" w14:textId="77777777" w:rsidR="00A30304" w:rsidRDefault="00A30304" w:rsidP="00F44B81">
      <w:pPr>
        <w:spacing w:before="240" w:after="240" w:line="360" w:lineRule="auto"/>
        <w:jc w:val="both"/>
        <w:rPr>
          <w:rFonts w:ascii="Times New Roman" w:eastAsia="Times New Roman" w:hAnsi="Times New Roman" w:cs="Times New Roman"/>
          <w:sz w:val="24"/>
          <w:szCs w:val="24"/>
        </w:rPr>
      </w:pPr>
    </w:p>
    <w:p w14:paraId="4A2A7730" w14:textId="77777777" w:rsidR="00A30304" w:rsidRDefault="00A30304" w:rsidP="00F44B81">
      <w:pPr>
        <w:spacing w:before="240" w:after="240" w:line="360" w:lineRule="auto"/>
        <w:jc w:val="both"/>
        <w:rPr>
          <w:rFonts w:ascii="Times New Roman" w:eastAsia="Times New Roman" w:hAnsi="Times New Roman" w:cs="Times New Roman"/>
          <w:sz w:val="24"/>
          <w:szCs w:val="24"/>
        </w:rPr>
      </w:pPr>
    </w:p>
    <w:p w14:paraId="7C0949CC" w14:textId="2446C619" w:rsidR="00D311C8" w:rsidRPr="00F44B81" w:rsidRDefault="00D311C8"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În ceea ce privește migrația de întoarcere,  deși este frecvent prezentă în discursul public și politic, monitorizarea acestui fenomen rămâne fragmentară. În mod particular, persistă o lacună semnificativă în colectarea și armonizarea datelor oficiale, manifestată prin discrepanțe și neconcordanțe între statisticile furnizate de autoritățile naționale. Această situație limitează capacitatea instituțională de a evalua corect amploarea și dinamica procesului de reîntoarcere. Problematica „reîntoarcerii” a devenit parte a agendei publice în principal ca urmare a intensității emigrației și a efectelor sale structurale asupra societății. Pierderea masivă a populației apte de muncă poate accentua îmbătrânirea demografică, reduce rata natalității, diminua forța de muncă disponibilă și afecta sustenabilitatea sistemelor sociale și economice. În acest context, măsurarea corectă a reîntoarcerii capătă o importanță strategică pentru formularea politicilor publice.</w:t>
      </w:r>
    </w:p>
    <w:p w14:paraId="0B611BE3" w14:textId="77777777" w:rsidR="00D311C8" w:rsidRDefault="00D311C8"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Tabelul de mai jos (Tabel 1) evidențiază incertitudinea care caracterizează măsurarea fenomenului de reîntoarcere. Astfel, se observă că numărul imigranților cu cetățenie moldovenească este constant mai mare decât numărul repatriaților, deși repatrierea, prin definiție, se referă la cetățeanul Republicii Moldova și/sau persoana născută pe teritoriul Republicii Moldova, urmașii acesteia, precum și persoana care a locuit anterior permanent în țară și are dreptul legal de a-și stabili domiciliul permanent pe teritoriul Republicii Moldova.</w:t>
      </w:r>
    </w:p>
    <w:p w14:paraId="277781D9" w14:textId="77777777" w:rsidR="0021594E" w:rsidRPr="0021594E" w:rsidRDefault="0021594E" w:rsidP="00D311C8">
      <w:pPr>
        <w:spacing w:before="240" w:after="240"/>
        <w:jc w:val="both"/>
        <w:rPr>
          <w:rFonts w:ascii="Times New Roman" w:eastAsia="Times New Roman" w:hAnsi="Times New Roman" w:cs="Times New Roman"/>
          <w:i/>
          <w:sz w:val="24"/>
          <w:szCs w:val="24"/>
        </w:rPr>
      </w:pPr>
      <w:r w:rsidRPr="0021594E">
        <w:rPr>
          <w:rFonts w:ascii="Times New Roman" w:eastAsia="Times New Roman" w:hAnsi="Times New Roman" w:cs="Times New Roman"/>
          <w:i/>
          <w:sz w:val="24"/>
          <w:szCs w:val="24"/>
        </w:rPr>
        <w:t>Tabel 1. Date statistice migrație Moldova</w:t>
      </w:r>
    </w:p>
    <w:tbl>
      <w:tblPr>
        <w:tblStyle w:val="GridTable2-Accent5"/>
        <w:tblW w:w="7225" w:type="dxa"/>
        <w:tblLayout w:type="fixed"/>
        <w:tblLook w:val="0600" w:firstRow="0" w:lastRow="0" w:firstColumn="0" w:lastColumn="0" w:noHBand="1" w:noVBand="1"/>
      </w:tblPr>
      <w:tblGrid>
        <w:gridCol w:w="740"/>
        <w:gridCol w:w="2374"/>
        <w:gridCol w:w="1843"/>
        <w:gridCol w:w="2268"/>
      </w:tblGrid>
      <w:tr w:rsidR="00D311C8" w:rsidRPr="00D311C8" w14:paraId="5BC1187B" w14:textId="77777777" w:rsidTr="00CC2492">
        <w:trPr>
          <w:trHeight w:val="983"/>
        </w:trPr>
        <w:tc>
          <w:tcPr>
            <w:tcW w:w="740" w:type="dxa"/>
          </w:tcPr>
          <w:p w14:paraId="2EBD2605" w14:textId="77777777" w:rsidR="00D311C8" w:rsidRPr="00D311C8" w:rsidRDefault="00D311C8" w:rsidP="00F44B81">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b/>
                <w:bCs/>
                <w:sz w:val="24"/>
                <w:szCs w:val="24"/>
              </w:rPr>
              <w:t>Anul</w:t>
            </w:r>
          </w:p>
        </w:tc>
        <w:tc>
          <w:tcPr>
            <w:tcW w:w="2374" w:type="dxa"/>
          </w:tcPr>
          <w:p w14:paraId="29684C88" w14:textId="77777777" w:rsidR="00D311C8" w:rsidRPr="00D311C8" w:rsidRDefault="00D311C8" w:rsidP="00F44B81">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b/>
                <w:bCs/>
                <w:sz w:val="24"/>
                <w:szCs w:val="24"/>
              </w:rPr>
              <w:t>Imigranți cu cetățenie moldovenească</w:t>
            </w:r>
          </w:p>
        </w:tc>
        <w:tc>
          <w:tcPr>
            <w:tcW w:w="1843" w:type="dxa"/>
          </w:tcPr>
          <w:p w14:paraId="214CD885" w14:textId="77777777" w:rsidR="00D311C8" w:rsidRPr="00D311C8" w:rsidRDefault="00D311C8" w:rsidP="00F44B81">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b/>
                <w:bCs/>
                <w:sz w:val="24"/>
                <w:szCs w:val="24"/>
              </w:rPr>
              <w:t>Repatriați</w:t>
            </w:r>
          </w:p>
        </w:tc>
        <w:tc>
          <w:tcPr>
            <w:tcW w:w="2268" w:type="dxa"/>
          </w:tcPr>
          <w:p w14:paraId="1C1B3B5D" w14:textId="77777777" w:rsidR="00D311C8" w:rsidRPr="00D311C8" w:rsidRDefault="00D311C8" w:rsidP="00F44B81">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b/>
                <w:bCs/>
                <w:sz w:val="24"/>
                <w:szCs w:val="24"/>
              </w:rPr>
              <w:t>Emigranți cu cetățenie moldovenească</w:t>
            </w:r>
          </w:p>
        </w:tc>
      </w:tr>
      <w:tr w:rsidR="00D311C8" w:rsidRPr="00D311C8" w14:paraId="7E34C243" w14:textId="77777777" w:rsidTr="00CC2492">
        <w:trPr>
          <w:trHeight w:val="653"/>
        </w:trPr>
        <w:tc>
          <w:tcPr>
            <w:tcW w:w="740" w:type="dxa"/>
          </w:tcPr>
          <w:p w14:paraId="19D4FB48"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2014</w:t>
            </w:r>
          </w:p>
        </w:tc>
        <w:tc>
          <w:tcPr>
            <w:tcW w:w="2374" w:type="dxa"/>
          </w:tcPr>
          <w:p w14:paraId="1AB8AF68"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5 705</w:t>
            </w:r>
          </w:p>
        </w:tc>
        <w:tc>
          <w:tcPr>
            <w:tcW w:w="1843" w:type="dxa"/>
          </w:tcPr>
          <w:p w14:paraId="3A2DEFBD"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748</w:t>
            </w:r>
          </w:p>
        </w:tc>
        <w:tc>
          <w:tcPr>
            <w:tcW w:w="2268" w:type="dxa"/>
          </w:tcPr>
          <w:p w14:paraId="0F530007"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4 489</w:t>
            </w:r>
          </w:p>
        </w:tc>
      </w:tr>
      <w:tr w:rsidR="00D311C8" w:rsidRPr="00D311C8" w14:paraId="35973CD4" w14:textId="77777777" w:rsidTr="00CC2492">
        <w:trPr>
          <w:trHeight w:val="500"/>
        </w:trPr>
        <w:tc>
          <w:tcPr>
            <w:tcW w:w="740" w:type="dxa"/>
          </w:tcPr>
          <w:p w14:paraId="490D8D9C"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2015</w:t>
            </w:r>
          </w:p>
        </w:tc>
        <w:tc>
          <w:tcPr>
            <w:tcW w:w="2374" w:type="dxa"/>
          </w:tcPr>
          <w:p w14:paraId="27FE6A85"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5 139</w:t>
            </w:r>
          </w:p>
        </w:tc>
        <w:tc>
          <w:tcPr>
            <w:tcW w:w="1843" w:type="dxa"/>
          </w:tcPr>
          <w:p w14:paraId="664949C7"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453</w:t>
            </w:r>
          </w:p>
        </w:tc>
        <w:tc>
          <w:tcPr>
            <w:tcW w:w="2268" w:type="dxa"/>
          </w:tcPr>
          <w:p w14:paraId="24A052DA"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5 706</w:t>
            </w:r>
          </w:p>
        </w:tc>
      </w:tr>
      <w:tr w:rsidR="00D311C8" w:rsidRPr="00D311C8" w14:paraId="60873A12" w14:textId="77777777" w:rsidTr="00CC2492">
        <w:trPr>
          <w:trHeight w:val="500"/>
        </w:trPr>
        <w:tc>
          <w:tcPr>
            <w:tcW w:w="740" w:type="dxa"/>
          </w:tcPr>
          <w:p w14:paraId="06055D5F"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lastRenderedPageBreak/>
              <w:t>2016</w:t>
            </w:r>
          </w:p>
        </w:tc>
        <w:tc>
          <w:tcPr>
            <w:tcW w:w="2374" w:type="dxa"/>
          </w:tcPr>
          <w:p w14:paraId="16DBBC83"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4 044</w:t>
            </w:r>
          </w:p>
        </w:tc>
        <w:tc>
          <w:tcPr>
            <w:tcW w:w="1843" w:type="dxa"/>
          </w:tcPr>
          <w:p w14:paraId="06DBAD82"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706</w:t>
            </w:r>
          </w:p>
        </w:tc>
        <w:tc>
          <w:tcPr>
            <w:tcW w:w="2268" w:type="dxa"/>
          </w:tcPr>
          <w:p w14:paraId="349C0561"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6 737</w:t>
            </w:r>
          </w:p>
        </w:tc>
      </w:tr>
      <w:tr w:rsidR="00D311C8" w:rsidRPr="00D311C8" w14:paraId="1E52C40A" w14:textId="77777777" w:rsidTr="00CC2492">
        <w:trPr>
          <w:trHeight w:val="500"/>
        </w:trPr>
        <w:tc>
          <w:tcPr>
            <w:tcW w:w="740" w:type="dxa"/>
          </w:tcPr>
          <w:p w14:paraId="3ECBAA97"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2017</w:t>
            </w:r>
          </w:p>
        </w:tc>
        <w:tc>
          <w:tcPr>
            <w:tcW w:w="2374" w:type="dxa"/>
          </w:tcPr>
          <w:p w14:paraId="265C4BD5"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3 782</w:t>
            </w:r>
          </w:p>
        </w:tc>
        <w:tc>
          <w:tcPr>
            <w:tcW w:w="1843" w:type="dxa"/>
          </w:tcPr>
          <w:p w14:paraId="3DD5F036"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578</w:t>
            </w:r>
          </w:p>
        </w:tc>
        <w:tc>
          <w:tcPr>
            <w:tcW w:w="2268" w:type="dxa"/>
          </w:tcPr>
          <w:p w14:paraId="536D2C8B"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8 099</w:t>
            </w:r>
          </w:p>
        </w:tc>
      </w:tr>
      <w:tr w:rsidR="00D311C8" w:rsidRPr="00D311C8" w14:paraId="42727388" w14:textId="77777777" w:rsidTr="00CC2492">
        <w:trPr>
          <w:trHeight w:val="500"/>
        </w:trPr>
        <w:tc>
          <w:tcPr>
            <w:tcW w:w="740" w:type="dxa"/>
          </w:tcPr>
          <w:p w14:paraId="68376A8E"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2018</w:t>
            </w:r>
          </w:p>
        </w:tc>
        <w:tc>
          <w:tcPr>
            <w:tcW w:w="2374" w:type="dxa"/>
          </w:tcPr>
          <w:p w14:paraId="30FFA8E5"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3 769</w:t>
            </w:r>
          </w:p>
        </w:tc>
        <w:tc>
          <w:tcPr>
            <w:tcW w:w="1843" w:type="dxa"/>
          </w:tcPr>
          <w:p w14:paraId="5AFF34D4"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618</w:t>
            </w:r>
          </w:p>
        </w:tc>
        <w:tc>
          <w:tcPr>
            <w:tcW w:w="2268" w:type="dxa"/>
          </w:tcPr>
          <w:p w14:paraId="0B9A887A"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8 658</w:t>
            </w:r>
          </w:p>
        </w:tc>
      </w:tr>
      <w:tr w:rsidR="00D311C8" w:rsidRPr="00D311C8" w14:paraId="67170B37" w14:textId="77777777" w:rsidTr="00CC2492">
        <w:trPr>
          <w:trHeight w:val="500"/>
        </w:trPr>
        <w:tc>
          <w:tcPr>
            <w:tcW w:w="740" w:type="dxa"/>
          </w:tcPr>
          <w:p w14:paraId="3BC6FFA0"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2019</w:t>
            </w:r>
          </w:p>
        </w:tc>
        <w:tc>
          <w:tcPr>
            <w:tcW w:w="2374" w:type="dxa"/>
          </w:tcPr>
          <w:p w14:paraId="5C496115"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4 340</w:t>
            </w:r>
          </w:p>
        </w:tc>
        <w:tc>
          <w:tcPr>
            <w:tcW w:w="1843" w:type="dxa"/>
          </w:tcPr>
          <w:p w14:paraId="061E592B"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1 227</w:t>
            </w:r>
          </w:p>
        </w:tc>
        <w:tc>
          <w:tcPr>
            <w:tcW w:w="2268" w:type="dxa"/>
          </w:tcPr>
          <w:p w14:paraId="554F87BC"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8 123</w:t>
            </w:r>
          </w:p>
        </w:tc>
      </w:tr>
      <w:tr w:rsidR="00D311C8" w:rsidRPr="00D311C8" w14:paraId="4C14B494" w14:textId="77777777" w:rsidTr="00CC2492">
        <w:trPr>
          <w:trHeight w:val="500"/>
        </w:trPr>
        <w:tc>
          <w:tcPr>
            <w:tcW w:w="740" w:type="dxa"/>
          </w:tcPr>
          <w:p w14:paraId="7A16279A"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2020</w:t>
            </w:r>
          </w:p>
        </w:tc>
        <w:tc>
          <w:tcPr>
            <w:tcW w:w="2374" w:type="dxa"/>
          </w:tcPr>
          <w:p w14:paraId="3EFA2AFE"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4 592</w:t>
            </w:r>
          </w:p>
        </w:tc>
        <w:tc>
          <w:tcPr>
            <w:tcW w:w="1843" w:type="dxa"/>
          </w:tcPr>
          <w:p w14:paraId="1E50296B"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558</w:t>
            </w:r>
          </w:p>
        </w:tc>
        <w:tc>
          <w:tcPr>
            <w:tcW w:w="2268" w:type="dxa"/>
          </w:tcPr>
          <w:p w14:paraId="0451AADE"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5 820</w:t>
            </w:r>
          </w:p>
        </w:tc>
      </w:tr>
      <w:tr w:rsidR="00D311C8" w:rsidRPr="00D311C8" w14:paraId="39722D5F" w14:textId="77777777" w:rsidTr="00CC2492">
        <w:trPr>
          <w:trHeight w:val="500"/>
        </w:trPr>
        <w:tc>
          <w:tcPr>
            <w:tcW w:w="740" w:type="dxa"/>
          </w:tcPr>
          <w:p w14:paraId="516078DE"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2021</w:t>
            </w:r>
          </w:p>
        </w:tc>
        <w:tc>
          <w:tcPr>
            <w:tcW w:w="2374" w:type="dxa"/>
          </w:tcPr>
          <w:p w14:paraId="7D09B416"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3 564</w:t>
            </w:r>
          </w:p>
        </w:tc>
        <w:tc>
          <w:tcPr>
            <w:tcW w:w="1843" w:type="dxa"/>
          </w:tcPr>
          <w:p w14:paraId="784EAF38"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1 523</w:t>
            </w:r>
          </w:p>
        </w:tc>
        <w:tc>
          <w:tcPr>
            <w:tcW w:w="2268" w:type="dxa"/>
          </w:tcPr>
          <w:p w14:paraId="7DA4E1AA"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8 358</w:t>
            </w:r>
          </w:p>
        </w:tc>
      </w:tr>
      <w:tr w:rsidR="00D311C8" w:rsidRPr="00D311C8" w14:paraId="6DB895BE" w14:textId="77777777" w:rsidTr="00CC2492">
        <w:trPr>
          <w:trHeight w:val="500"/>
        </w:trPr>
        <w:tc>
          <w:tcPr>
            <w:tcW w:w="740" w:type="dxa"/>
          </w:tcPr>
          <w:p w14:paraId="6C435DAA"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2022</w:t>
            </w:r>
          </w:p>
        </w:tc>
        <w:tc>
          <w:tcPr>
            <w:tcW w:w="2374" w:type="dxa"/>
          </w:tcPr>
          <w:p w14:paraId="6F6D3FE3"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2 980</w:t>
            </w:r>
          </w:p>
        </w:tc>
        <w:tc>
          <w:tcPr>
            <w:tcW w:w="1843" w:type="dxa"/>
          </w:tcPr>
          <w:p w14:paraId="4D38CE7E"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871</w:t>
            </w:r>
          </w:p>
        </w:tc>
        <w:tc>
          <w:tcPr>
            <w:tcW w:w="2268" w:type="dxa"/>
          </w:tcPr>
          <w:p w14:paraId="17568853"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8 161</w:t>
            </w:r>
          </w:p>
        </w:tc>
      </w:tr>
      <w:tr w:rsidR="00D311C8" w:rsidRPr="00D311C8" w14:paraId="71670DA0" w14:textId="77777777" w:rsidTr="00CC2492">
        <w:trPr>
          <w:trHeight w:val="500"/>
        </w:trPr>
        <w:tc>
          <w:tcPr>
            <w:tcW w:w="740" w:type="dxa"/>
          </w:tcPr>
          <w:p w14:paraId="5D557FB3" w14:textId="77777777" w:rsidR="00D311C8" w:rsidRPr="0021594E" w:rsidRDefault="00D311C8" w:rsidP="00F44B81">
            <w:pPr>
              <w:spacing w:before="240" w:after="240"/>
              <w:jc w:val="both"/>
              <w:rPr>
                <w:rFonts w:ascii="Times New Roman" w:eastAsia="Times New Roman" w:hAnsi="Times New Roman" w:cs="Times New Roman"/>
                <w:b/>
                <w:sz w:val="24"/>
                <w:szCs w:val="24"/>
              </w:rPr>
            </w:pPr>
            <w:r w:rsidRPr="0021594E">
              <w:rPr>
                <w:rFonts w:ascii="Times New Roman" w:eastAsia="Times New Roman" w:hAnsi="Times New Roman" w:cs="Times New Roman"/>
                <w:b/>
                <w:sz w:val="24"/>
                <w:szCs w:val="24"/>
              </w:rPr>
              <w:t>2023</w:t>
            </w:r>
          </w:p>
        </w:tc>
        <w:tc>
          <w:tcPr>
            <w:tcW w:w="2374" w:type="dxa"/>
          </w:tcPr>
          <w:p w14:paraId="3410E299"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3 893</w:t>
            </w:r>
          </w:p>
        </w:tc>
        <w:tc>
          <w:tcPr>
            <w:tcW w:w="1843" w:type="dxa"/>
          </w:tcPr>
          <w:p w14:paraId="06D1E8FE"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1 101</w:t>
            </w:r>
          </w:p>
        </w:tc>
        <w:tc>
          <w:tcPr>
            <w:tcW w:w="2268" w:type="dxa"/>
          </w:tcPr>
          <w:p w14:paraId="3DE410D8" w14:textId="77777777" w:rsidR="00D311C8" w:rsidRPr="00D311C8" w:rsidRDefault="00D311C8" w:rsidP="0021594E">
            <w:pPr>
              <w:spacing w:before="240" w:after="240"/>
              <w:jc w:val="center"/>
              <w:rPr>
                <w:rFonts w:ascii="Times New Roman" w:eastAsia="Times New Roman" w:hAnsi="Times New Roman" w:cs="Times New Roman"/>
                <w:sz w:val="24"/>
                <w:szCs w:val="24"/>
              </w:rPr>
            </w:pPr>
            <w:r w:rsidRPr="00D311C8">
              <w:rPr>
                <w:rFonts w:ascii="Times New Roman" w:eastAsia="Times New Roman" w:hAnsi="Times New Roman" w:cs="Times New Roman"/>
                <w:sz w:val="24"/>
                <w:szCs w:val="24"/>
              </w:rPr>
              <w:t>6 474</w:t>
            </w:r>
          </w:p>
        </w:tc>
      </w:tr>
    </w:tbl>
    <w:p w14:paraId="1982A731" w14:textId="77777777" w:rsidR="0021594E" w:rsidRPr="0021594E"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Diferențele dintre numărul imigranților cu cetățenie moldovenească și cel al repatriaților reflectă divergențe de definiție și limitări metodologice în monitorizarea reîntoarcerii. Datele se referă exclusiv la migrația de durată de minimum 12 luni.</w:t>
      </w:r>
    </w:p>
    <w:p w14:paraId="4454C437" w14:textId="77777777" w:rsidR="0021594E" w:rsidRPr="0021594E"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Analizate comparativ cu datele privind emigrația, aceste statistici indică faptul că fenomenul emigrării rămâne mai intens decât cel al reîntoarcerii, numărul cetățenilor moldoveni care părăsesc țara depășind semnificativ numărul celor care revin. Totuși, această concluzie trebuie tratată cu prudență, întrucât există riscul unor interpretări eronate generate de deficiențele de monitorizare și de lipsa unei baze de date centralizate pentru un fenomen extrem de dinamic.</w:t>
      </w:r>
    </w:p>
    <w:p w14:paraId="02F83B6A" w14:textId="77777777" w:rsidR="00D311C8"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Un aspect esențial îl reprezintă caracterul temporal al migrației. Dreptul la libera circulație face ca o parte semnificativă a migrației să fie temporară, iar persoanele plecate nu sunt întotdeauna monitorizate și nici obligate să se înregistreze oficial. În consecință, statisticile disponibile iau în considerare doar o perioadă de referință de 12 luni, atât pentru emigranți, cât și pentru imigranți, ceea ce limitează surprinderea migrației circulare și a reîntoarcerilor pe termen scurt.</w:t>
      </w:r>
    </w:p>
    <w:p w14:paraId="080C0549" w14:textId="77777777" w:rsidR="0021594E" w:rsidRPr="00F44B81" w:rsidRDefault="0021594E" w:rsidP="0021594E">
      <w:pPr>
        <w:pStyle w:val="Subtitle"/>
        <w:rPr>
          <w:rFonts w:ascii="Times New Roman" w:hAnsi="Times New Roman" w:cs="Times New Roman"/>
          <w:i/>
          <w:color w:val="000000" w:themeColor="text1"/>
          <w:sz w:val="24"/>
          <w:szCs w:val="24"/>
        </w:rPr>
      </w:pPr>
      <w:r w:rsidRPr="00F44B81">
        <w:rPr>
          <w:rFonts w:ascii="Times New Roman" w:hAnsi="Times New Roman" w:cs="Times New Roman"/>
          <w:i/>
          <w:color w:val="000000" w:themeColor="text1"/>
          <w:sz w:val="24"/>
          <w:szCs w:val="24"/>
        </w:rPr>
        <w:lastRenderedPageBreak/>
        <w:t>Impactul migrației asupra economiei, pieței muncii, demografiei</w:t>
      </w:r>
    </w:p>
    <w:p w14:paraId="503388B4" w14:textId="77777777" w:rsidR="0021594E"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Migrația de muncă din Republica Moldova s-a dovedit a fi destul de benefică pentru Republic</w:t>
      </w:r>
      <w:r w:rsidR="00347522" w:rsidRPr="00F44B81">
        <w:rPr>
          <w:rFonts w:ascii="Times New Roman" w:eastAsia="Times New Roman" w:hAnsi="Times New Roman" w:cs="Times New Roman"/>
          <w:sz w:val="24"/>
          <w:szCs w:val="24"/>
        </w:rPr>
        <w:t>a</w:t>
      </w:r>
      <w:r w:rsidRPr="00F44B81">
        <w:rPr>
          <w:rFonts w:ascii="Times New Roman" w:eastAsia="Times New Roman" w:hAnsi="Times New Roman" w:cs="Times New Roman"/>
          <w:sz w:val="24"/>
          <w:szCs w:val="24"/>
        </w:rPr>
        <w:t xml:space="preserve"> Moldova, contribuind atât la creșterea economică cât și la creșterea bunăstării populației și depășirea sărăciei. Pentru a scoate în evidență efectele migrației asupra dezvoltării, de regulă se recurge la analiza impactului celor trei tipuri de transferuri generate de migrație, și anume transferul de persoane, transferul de cunoștințe și know-how și transferul de remitențe. </w:t>
      </w:r>
    </w:p>
    <w:p w14:paraId="6410414A" w14:textId="504D99D5" w:rsidR="0021594E" w:rsidRPr="00F44B81" w:rsidRDefault="00347522"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Dacă facem referire la</w:t>
      </w:r>
      <w:r w:rsidR="0021594E" w:rsidRPr="00F44B81">
        <w:rPr>
          <w:rFonts w:ascii="Times New Roman" w:eastAsia="Times New Roman" w:hAnsi="Times New Roman" w:cs="Times New Roman"/>
          <w:sz w:val="24"/>
          <w:szCs w:val="24"/>
        </w:rPr>
        <w:t xml:space="preserve"> primul tip de transfer, și anume la transferul de persoane,</w:t>
      </w:r>
      <w:r w:rsidRPr="00F44B81">
        <w:rPr>
          <w:rFonts w:ascii="Times New Roman" w:eastAsia="Times New Roman" w:hAnsi="Times New Roman" w:cs="Times New Roman"/>
          <w:sz w:val="24"/>
          <w:szCs w:val="24"/>
        </w:rPr>
        <w:t xml:space="preserve"> putem</w:t>
      </w:r>
      <w:r w:rsidR="0021594E" w:rsidRPr="00F44B81">
        <w:rPr>
          <w:rFonts w:ascii="Times New Roman" w:eastAsia="Times New Roman" w:hAnsi="Times New Roman" w:cs="Times New Roman"/>
          <w:sz w:val="24"/>
          <w:szCs w:val="24"/>
        </w:rPr>
        <w:t xml:space="preserve"> recurge la analiza situației de pe piața muncii din Republica Moldova. Trebuie menționat faptul, că în prezent piața muncii din Republica Moldova înregistrează un declin destul de pronunțat</w:t>
      </w:r>
      <w:r w:rsidRPr="00F44B81">
        <w:rPr>
          <w:rFonts w:ascii="Times New Roman" w:eastAsia="Times New Roman" w:hAnsi="Times New Roman" w:cs="Times New Roman"/>
          <w:sz w:val="24"/>
          <w:szCs w:val="24"/>
        </w:rPr>
        <w:t xml:space="preserve"> pe piața muncii</w:t>
      </w:r>
      <w:r w:rsidR="0021594E" w:rsidRPr="00F44B81">
        <w:rPr>
          <w:rFonts w:ascii="Times New Roman" w:eastAsia="Times New Roman" w:hAnsi="Times New Roman" w:cs="Times New Roman"/>
          <w:sz w:val="24"/>
          <w:szCs w:val="24"/>
        </w:rPr>
        <w:t xml:space="preserve">. Rata de ocupare se menține la nivelul de circa 40% de mai mulți ani (în 2024 ea a marcat nivelul de 42,7%). Pe fundalul descreșterii nivelului ocupării, se diminuează și rata șomajului (în 2024 rata șomajului din Republica Moldova a </w:t>
      </w:r>
      <w:r w:rsidRPr="00F44B81">
        <w:rPr>
          <w:rFonts w:ascii="Times New Roman" w:eastAsia="Times New Roman" w:hAnsi="Times New Roman" w:cs="Times New Roman"/>
          <w:sz w:val="24"/>
          <w:szCs w:val="24"/>
        </w:rPr>
        <w:t>fost de</w:t>
      </w:r>
      <w:r w:rsidR="0021594E" w:rsidRPr="00F44B81">
        <w:rPr>
          <w:rFonts w:ascii="Times New Roman" w:eastAsia="Times New Roman" w:hAnsi="Times New Roman" w:cs="Times New Roman"/>
          <w:sz w:val="24"/>
          <w:szCs w:val="24"/>
        </w:rPr>
        <w:t xml:space="preserve"> 4%)</w:t>
      </w:r>
      <w:r w:rsidR="007A5239">
        <w:rPr>
          <w:rStyle w:val="FootnoteReference"/>
          <w:rFonts w:ascii="Times New Roman" w:eastAsia="Times New Roman" w:hAnsi="Times New Roman" w:cs="Times New Roman"/>
          <w:sz w:val="24"/>
          <w:szCs w:val="24"/>
        </w:rPr>
        <w:footnoteReference w:id="2"/>
      </w:r>
      <w:r w:rsidR="0021594E" w:rsidRPr="00F44B81">
        <w:rPr>
          <w:rFonts w:ascii="Times New Roman" w:eastAsia="Times New Roman" w:hAnsi="Times New Roman" w:cs="Times New Roman"/>
          <w:sz w:val="24"/>
          <w:szCs w:val="24"/>
        </w:rPr>
        <w:t>.</w:t>
      </w:r>
    </w:p>
    <w:p w14:paraId="5EA5919E" w14:textId="77777777" w:rsidR="0021594E"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Diminuarea volumului ocupării conduce la compromiterea sistemului de securitate socială prin creșterea raportului de dependență economică, precum și la apariția unui deficit de forță de muncă. Însă, realitatea actuală din Republica Moldova este cu totul alta. Exodul masiv de persoane active este determinat, în primul rând, de lipsa unor oportunități reale de angajare, în special, în mediul rural, precum și de veniturile salariale extrem de mici care nu pot asigura un nivel de trai decent. În pofida eforturilor autorităților publice centrale de a redresa situația din domeniul ocupării, conjunctura economică actuală nu are, deocamdată, capacitatea de a crea locuri de muncă noi, productive și atractive care să motiveze populația inactivă aptă de muncă să fie prezentă pe piața muncii.</w:t>
      </w:r>
      <w:r w:rsidR="00F3008C" w:rsidRPr="00F44B81">
        <w:rPr>
          <w:rFonts w:ascii="Times New Roman" w:eastAsia="Times New Roman" w:hAnsi="Times New Roman" w:cs="Times New Roman"/>
          <w:sz w:val="24"/>
          <w:szCs w:val="24"/>
        </w:rPr>
        <w:t xml:space="preserve"> </w:t>
      </w:r>
      <w:r w:rsidRPr="00F44B81">
        <w:rPr>
          <w:rFonts w:ascii="Times New Roman" w:eastAsia="Times New Roman" w:hAnsi="Times New Roman" w:cs="Times New Roman"/>
          <w:sz w:val="24"/>
          <w:szCs w:val="24"/>
        </w:rPr>
        <w:t xml:space="preserve">Prin urmare, pentru Republica Moldova, migrația internațională se prezintă, în primul rând, ca o sursă esențială în asigurarea unui trai decent pentru o mare parte a locuitorilor țării. </w:t>
      </w:r>
    </w:p>
    <w:p w14:paraId="10D03D28" w14:textId="77777777" w:rsidR="0021594E"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Migrația internațională de muncă poate fi considerată și un factor important de depășire a dezechilibrelor de pe piața muncii. În condițiile în care Republica Moldova înregistrează capacități slabe de creare a noilor locuri de muncă, migrația internațională a forței de muncă conduce la evitarea presiunii pe piața muncii și la menținerea șomajului în limite acceptabile.</w:t>
      </w:r>
    </w:p>
    <w:p w14:paraId="1FC6EA72" w14:textId="440A04BF" w:rsidR="0021594E" w:rsidRPr="00F44B81" w:rsidRDefault="005E4BEF"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lastRenderedPageBreak/>
        <w:t xml:space="preserve">Al </w:t>
      </w:r>
      <w:r w:rsidR="0021594E" w:rsidRPr="00F44B81">
        <w:rPr>
          <w:rFonts w:ascii="Times New Roman" w:eastAsia="Times New Roman" w:hAnsi="Times New Roman" w:cs="Times New Roman"/>
          <w:sz w:val="24"/>
          <w:szCs w:val="24"/>
        </w:rPr>
        <w:t>doilea tip de transfer</w:t>
      </w:r>
      <w:r w:rsidRPr="00F44B81">
        <w:rPr>
          <w:rFonts w:ascii="Times New Roman" w:eastAsia="Times New Roman" w:hAnsi="Times New Roman" w:cs="Times New Roman"/>
          <w:sz w:val="24"/>
          <w:szCs w:val="24"/>
        </w:rPr>
        <w:t xml:space="preserve">, respectiv </w:t>
      </w:r>
      <w:r w:rsidR="0021594E" w:rsidRPr="00F44B81">
        <w:rPr>
          <w:rFonts w:ascii="Times New Roman" w:eastAsia="Times New Roman" w:hAnsi="Times New Roman" w:cs="Times New Roman"/>
          <w:sz w:val="24"/>
          <w:szCs w:val="24"/>
        </w:rPr>
        <w:t>transferul de cunoștințe</w:t>
      </w:r>
      <w:r w:rsidRPr="00F44B81">
        <w:rPr>
          <w:rFonts w:ascii="Times New Roman" w:eastAsia="Times New Roman" w:hAnsi="Times New Roman" w:cs="Times New Roman"/>
          <w:sz w:val="24"/>
          <w:szCs w:val="24"/>
        </w:rPr>
        <w:t xml:space="preserve"> </w:t>
      </w:r>
      <w:r w:rsidR="0021594E" w:rsidRPr="00F44B81">
        <w:rPr>
          <w:rFonts w:ascii="Times New Roman" w:eastAsia="Times New Roman" w:hAnsi="Times New Roman" w:cs="Times New Roman"/>
          <w:sz w:val="24"/>
          <w:szCs w:val="24"/>
        </w:rPr>
        <w:t xml:space="preserve">este </w:t>
      </w:r>
      <w:r w:rsidRPr="00F44B81">
        <w:rPr>
          <w:rFonts w:ascii="Times New Roman" w:eastAsia="Times New Roman" w:hAnsi="Times New Roman" w:cs="Times New Roman"/>
          <w:sz w:val="24"/>
          <w:szCs w:val="24"/>
        </w:rPr>
        <w:t>la fel de specific contextului</w:t>
      </w:r>
      <w:r w:rsidR="0021594E" w:rsidRPr="00F44B81">
        <w:rPr>
          <w:rFonts w:ascii="Times New Roman" w:eastAsia="Times New Roman" w:hAnsi="Times New Roman" w:cs="Times New Roman"/>
          <w:sz w:val="24"/>
          <w:szCs w:val="24"/>
        </w:rPr>
        <w:t xml:space="preserve"> Republicii Moldova. Migrația internațională este importantă, în special, pentru dezvoltarea formelor inovative de muncă,  precum și pentru cultivarea unei culturi antreprenoriale. Or, una din principalele cauze ale situației economice deplorabile este lipsa spiritului antreprenorial c</w:t>
      </w:r>
      <w:r w:rsidRPr="00F44B81">
        <w:rPr>
          <w:rFonts w:ascii="Times New Roman" w:eastAsia="Times New Roman" w:hAnsi="Times New Roman" w:cs="Times New Roman"/>
          <w:sz w:val="24"/>
          <w:szCs w:val="24"/>
        </w:rPr>
        <w:t xml:space="preserve">a efect al </w:t>
      </w:r>
      <w:r w:rsidR="0021594E" w:rsidRPr="00F44B81">
        <w:rPr>
          <w:rFonts w:ascii="Times New Roman" w:eastAsia="Times New Roman" w:hAnsi="Times New Roman" w:cs="Times New Roman"/>
          <w:sz w:val="24"/>
          <w:szCs w:val="24"/>
        </w:rPr>
        <w:t>perioad</w:t>
      </w:r>
      <w:r w:rsidRPr="00F44B81">
        <w:rPr>
          <w:rFonts w:ascii="Times New Roman" w:eastAsia="Times New Roman" w:hAnsi="Times New Roman" w:cs="Times New Roman"/>
          <w:sz w:val="24"/>
          <w:szCs w:val="24"/>
        </w:rPr>
        <w:t>ei</w:t>
      </w:r>
      <w:r w:rsidR="0021594E" w:rsidRPr="00F44B81">
        <w:rPr>
          <w:rFonts w:ascii="Times New Roman" w:eastAsia="Times New Roman" w:hAnsi="Times New Roman" w:cs="Times New Roman"/>
          <w:sz w:val="24"/>
          <w:szCs w:val="24"/>
        </w:rPr>
        <w:t xml:space="preserve"> economiei socialiste. Datele statistice arată că în Republica Moldova ponderea populației ocupate cu statut de patron în totalul populației ocupate este infim de mică și reprezintă doar 0,4%</w:t>
      </w:r>
      <w:r w:rsidR="007A5239">
        <w:rPr>
          <w:rStyle w:val="FootnoteReference"/>
          <w:rFonts w:ascii="Times New Roman" w:eastAsia="Times New Roman" w:hAnsi="Times New Roman" w:cs="Times New Roman"/>
          <w:sz w:val="24"/>
          <w:szCs w:val="24"/>
        </w:rPr>
        <w:footnoteReference w:id="3"/>
      </w:r>
      <w:r w:rsidR="0021594E" w:rsidRPr="00F44B81">
        <w:rPr>
          <w:rFonts w:ascii="Times New Roman" w:eastAsia="Times New Roman" w:hAnsi="Times New Roman" w:cs="Times New Roman"/>
          <w:sz w:val="24"/>
          <w:szCs w:val="24"/>
        </w:rPr>
        <w:t>. Din acest considerent, deprinderile inovative de muncă și cele antreprenoriale pe care lucrătorii migranți și le cultivă în țările de destinație care se caracterizează printr-un nivel înalt de dezvoltare economică și care le pot aplica la întoarcere sunt extrem de importante pentru perspectivele de dezvoltare ale Republicii Moldova.</w:t>
      </w:r>
    </w:p>
    <w:p w14:paraId="2D1CD2C2" w14:textId="18CE74C2" w:rsidR="00D311C8"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Transferurile de resurse financiare (remitențele</w:t>
      </w:r>
      <w:r w:rsidR="005E4BEF" w:rsidRPr="00F44B81">
        <w:rPr>
          <w:rFonts w:ascii="Times New Roman" w:eastAsia="Times New Roman" w:hAnsi="Times New Roman" w:cs="Times New Roman"/>
          <w:sz w:val="24"/>
          <w:szCs w:val="24"/>
        </w:rPr>
        <w:t xml:space="preserve"> economice</w:t>
      </w:r>
      <w:r w:rsidRPr="00F44B81">
        <w:rPr>
          <w:rFonts w:ascii="Times New Roman" w:eastAsia="Times New Roman" w:hAnsi="Times New Roman" w:cs="Times New Roman"/>
          <w:sz w:val="24"/>
          <w:szCs w:val="24"/>
        </w:rPr>
        <w:t>) efectuate de către lucrătorii migranți reprezintă cel de al treilea tip de transfer, care poate fi considerat, realmente cel mai important în dezvoltarea Republicii Moldova. Migrația internațională, în cea mai mare parte</w:t>
      </w:r>
      <w:r w:rsidR="005E4BEF" w:rsidRPr="00F44B81">
        <w:rPr>
          <w:rFonts w:ascii="Times New Roman" w:eastAsia="Times New Roman" w:hAnsi="Times New Roman" w:cs="Times New Roman"/>
          <w:sz w:val="24"/>
          <w:szCs w:val="24"/>
        </w:rPr>
        <w:t xml:space="preserve"> migrația pentru </w:t>
      </w:r>
      <w:r w:rsidRPr="00F44B81">
        <w:rPr>
          <w:rFonts w:ascii="Times New Roman" w:eastAsia="Times New Roman" w:hAnsi="Times New Roman" w:cs="Times New Roman"/>
          <w:sz w:val="24"/>
          <w:szCs w:val="24"/>
        </w:rPr>
        <w:t xml:space="preserve">muncă, </w:t>
      </w:r>
      <w:r w:rsidR="005E4BEF" w:rsidRPr="00F44B81">
        <w:rPr>
          <w:rFonts w:ascii="Times New Roman" w:eastAsia="Times New Roman" w:hAnsi="Times New Roman" w:cs="Times New Roman"/>
          <w:sz w:val="24"/>
          <w:szCs w:val="24"/>
        </w:rPr>
        <w:t xml:space="preserve">asigură </w:t>
      </w:r>
      <w:r w:rsidRPr="00F44B81">
        <w:rPr>
          <w:rFonts w:ascii="Times New Roman" w:eastAsia="Times New Roman" w:hAnsi="Times New Roman" w:cs="Times New Roman"/>
          <w:sz w:val="24"/>
          <w:szCs w:val="24"/>
        </w:rPr>
        <w:t>intrarea unor fluxuri financiare semnificative care, la rândul lor, contribuie la creșterea bunăstării populației. În perioada anul 2025, volumul remitențelor a atins cifra de 1,662.33 mil. USD (sau 9% din PIB)</w:t>
      </w:r>
      <w:r w:rsidR="00AC45D7">
        <w:rPr>
          <w:rStyle w:val="FootnoteReference"/>
          <w:rFonts w:ascii="Times New Roman" w:eastAsia="Times New Roman" w:hAnsi="Times New Roman" w:cs="Times New Roman"/>
          <w:sz w:val="24"/>
          <w:szCs w:val="24"/>
        </w:rPr>
        <w:footnoteReference w:id="4"/>
      </w:r>
      <w:r w:rsidRPr="00F44B81">
        <w:rPr>
          <w:rFonts w:ascii="Times New Roman" w:eastAsia="Times New Roman" w:hAnsi="Times New Roman" w:cs="Times New Roman"/>
          <w:sz w:val="24"/>
          <w:szCs w:val="24"/>
        </w:rPr>
        <w:t>. Creșterea puternică a fluxurilor de remitențe, începând cu anul 2000, a corelat în mod vizibil cu o evoluție pe măsură a creșterii economice și a nivelului de trai al multor familii din Republica Moldova, constituind, totodată, și o sursă vizibilă pentru dezvoltarea afacerilor din țară și crearea noilor locuri de muncă.</w:t>
      </w:r>
    </w:p>
    <w:p w14:paraId="45CE30EC" w14:textId="77777777" w:rsidR="0021594E" w:rsidRPr="00F44B81" w:rsidRDefault="0021594E" w:rsidP="00F44B81">
      <w:pPr>
        <w:pStyle w:val="Subtitle"/>
        <w:spacing w:line="360" w:lineRule="auto"/>
        <w:rPr>
          <w:rFonts w:ascii="Times New Roman" w:hAnsi="Times New Roman" w:cs="Times New Roman"/>
          <w:i/>
          <w:color w:val="000000" w:themeColor="text1"/>
          <w:sz w:val="24"/>
          <w:szCs w:val="24"/>
        </w:rPr>
      </w:pPr>
      <w:r w:rsidRPr="00F44B81">
        <w:rPr>
          <w:rFonts w:ascii="Times New Roman" w:hAnsi="Times New Roman" w:cs="Times New Roman"/>
          <w:i/>
          <w:color w:val="000000" w:themeColor="text1"/>
          <w:sz w:val="24"/>
          <w:szCs w:val="24"/>
        </w:rPr>
        <w:t>Relevanța revenirii migranților pentru dezvoltarea națională</w:t>
      </w:r>
    </w:p>
    <w:p w14:paraId="12379C6A" w14:textId="77777777" w:rsidR="0021594E"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 xml:space="preserve">Pe lângă beneficii economice și sociale, migrația de muncă generează și anumite riscuri sociale majore la nivel național, legate, în primul rând, de pierderea de capital uman, de dezechilibrele demografice (îmbătrânirea accelerată a populației), precum și de creșterea presiunii asupra sistemului de securitate socială. În acest context, există un interes pronunțat pentru ca migrația de muncă să aibă un caracter primordial temporar, iar migranții, în special, cei de muncă, să aibă posibilitatea de a reveni acasă. Pentru Republica Moldova, actualitatea reîntoarcerii migranților este dictată de mai multe motive, precum consolidarea și dezvoltarea potențialului demografic, </w:t>
      </w:r>
      <w:r w:rsidRPr="0021594E">
        <w:rPr>
          <w:rFonts w:ascii="Times New Roman" w:eastAsia="Times New Roman" w:hAnsi="Times New Roman" w:cs="Times New Roman"/>
          <w:sz w:val="24"/>
          <w:szCs w:val="24"/>
        </w:rPr>
        <w:lastRenderedPageBreak/>
        <w:t>care, la moment, se află în proces de degradare. Este vorba, în primul rând, de îmbătrânirea accelerată a populației; de utilizarea insuficientă a capacităților migranților de a-și asuma riscuri într-un mediu relativ străin, inițial nefavorabil pentru ei, pentru a se manifesta și a se autorealiza; de contribuția migranților de muncă prin banii câștigați la dezvoltarea economiei și a sferei sociale</w:t>
      </w:r>
      <w:r>
        <w:rPr>
          <w:rFonts w:ascii="Times New Roman" w:eastAsia="Times New Roman" w:hAnsi="Times New Roman" w:cs="Times New Roman"/>
          <w:sz w:val="24"/>
          <w:szCs w:val="24"/>
        </w:rPr>
        <w:t xml:space="preserve">, </w:t>
      </w:r>
      <w:r w:rsidRPr="0021594E">
        <w:rPr>
          <w:rFonts w:ascii="Times New Roman" w:eastAsia="Times New Roman" w:hAnsi="Times New Roman" w:cs="Times New Roman"/>
          <w:sz w:val="24"/>
          <w:szCs w:val="24"/>
        </w:rPr>
        <w:t xml:space="preserve"> în special la dezvoltarea comunitară.</w:t>
      </w:r>
      <w:r>
        <w:rPr>
          <w:rFonts w:ascii="Times New Roman" w:eastAsia="Times New Roman" w:hAnsi="Times New Roman" w:cs="Times New Roman"/>
          <w:sz w:val="24"/>
          <w:szCs w:val="24"/>
        </w:rPr>
        <w:t xml:space="preserve"> </w:t>
      </w:r>
      <w:r w:rsidRPr="0021594E">
        <w:rPr>
          <w:rFonts w:ascii="Times New Roman" w:eastAsia="Times New Roman" w:hAnsi="Times New Roman" w:cs="Times New Roman"/>
          <w:sz w:val="24"/>
          <w:szCs w:val="24"/>
        </w:rPr>
        <w:t xml:space="preserve">Trebuie menționat, că migrația de revenire contribuie la dezvoltare chiar mai mult decât remitențele aduse în țară de către migranții de muncă reveniți. </w:t>
      </w:r>
    </w:p>
    <w:p w14:paraId="7A783757" w14:textId="77777777" w:rsidR="0021594E" w:rsidRPr="0021594E"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Însuși procesul de revenire a migranților se confruntă cu aceleași dificultăți și provocări ca și în cazul plecării lor la muncă în străinătate. Cetățenii care se întorc acasă se confruntă cu dificultatea de a-și găsi un loc de muncă, cu dificultăți în procesul de deschidere a unei afaceri, au diverse probleme în înmatricularea copiilor în instituțiile educaționale, întâlnesc diverse obstacole în recunoașterea diplomelor și calificărilor obținute în străinătate, etc. În acest context, autoritățile publice, care sunt interesate în revenirea migranților trebuie să depună eforturi credibile pentru a facilita procesul de reintegrare a migranților reveniți pe piața muncii. În general, reintegrarea migranților reîntorși în rețelele sociale, pentru ca aceștia să redevină cetățeni activi pentru Republica Moldova reprezintă o provocare, un proces destul de complicat atât pentru migranți, cât și pentru autoritățile publice, atât centrale, cât și locale.</w:t>
      </w:r>
    </w:p>
    <w:p w14:paraId="70F00495" w14:textId="77777777" w:rsidR="0021594E" w:rsidRPr="00F44B81" w:rsidRDefault="0021594E" w:rsidP="00F44B81">
      <w:pPr>
        <w:pStyle w:val="Subtitle"/>
        <w:spacing w:line="360" w:lineRule="auto"/>
        <w:rPr>
          <w:rFonts w:ascii="Times New Roman" w:hAnsi="Times New Roman" w:cs="Times New Roman"/>
          <w:i/>
          <w:color w:val="000000" w:themeColor="text1"/>
          <w:sz w:val="24"/>
          <w:szCs w:val="24"/>
        </w:rPr>
      </w:pPr>
      <w:r w:rsidRPr="00F44B81">
        <w:rPr>
          <w:rFonts w:ascii="Times New Roman" w:hAnsi="Times New Roman" w:cs="Times New Roman"/>
          <w:i/>
          <w:color w:val="000000" w:themeColor="text1"/>
          <w:sz w:val="24"/>
          <w:szCs w:val="24"/>
        </w:rPr>
        <w:t>Politici publice existente și prioritățile naționale</w:t>
      </w:r>
    </w:p>
    <w:p w14:paraId="42ECAB42" w14:textId="77777777" w:rsidR="0021594E" w:rsidRDefault="0021594E"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Migrația de revenire în Republica Moldova este un fenomen complex și multidimensional, influențat de o combinație de factori economici, sociali, culturali și psihologici. În urma aderării României la Uniunea Europeană în 2007, mobilitatea populației din regiune s-a intensificat considerabil, facilitând nu doar creșterea fluxurilor migratorii ale cetățenilor Republicii Moldova către Uniunea Europeană, ci și crearea unui spațiu de formare, socializare și acumulare de competențe profesionale și sociale.</w:t>
      </w:r>
    </w:p>
    <w:p w14:paraId="0C72E8CF" w14:textId="77777777" w:rsidR="0021594E" w:rsidRDefault="0021594E"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Revenirea moldovenilor care au trăit, studiat sau muncit în România sau în alte state membre ale Uniunii Europene reprezintă un fenomen distinct în cadrul mobilităților est-europene. Pentru mulți dintre acești migranți, întoarcerea nu se limitează la o simplă relocare geografică, ci presupune un proces complex de reintegrare socială și profesională, marcat de experiența acumulată în context european. Repatrierea nu urmează un traseu uniform, fiind rezultatul interacțiunii dintre factori </w:t>
      </w:r>
      <w:r>
        <w:rPr>
          <w:rFonts w:ascii="Times New Roman" w:eastAsia="Times New Roman" w:hAnsi="Times New Roman" w:cs="Times New Roman"/>
          <w:sz w:val="24"/>
          <w:szCs w:val="24"/>
        </w:rPr>
        <w:lastRenderedPageBreak/>
        <w:t>obiectivi, precum condițiile economice, oportunitățile de angajare și cadrul de politici publice,  și factori subiectivi, legați de identitate, apartenență socială și dorința de reîntregire familială.</w:t>
      </w:r>
    </w:p>
    <w:p w14:paraId="2F59FAE8" w14:textId="77777777" w:rsidR="0021594E" w:rsidRDefault="0021594E"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Decizia de a reveni este adesea motivată de căutarea stabilității, de proximitatea față de familie sau de aspirația de a contribui la dezvoltarea comunității de origine. Totodată, considerentele economice rămân centrale, în special pentru persoanele care urmăresc valorificarea competențelor, cunoștințelor și experienței dobândite în străinătate.</w:t>
      </w:r>
    </w:p>
    <w:p w14:paraId="29FB687B" w14:textId="77777777" w:rsidR="0021594E" w:rsidRPr="0021594E" w:rsidRDefault="0021594E"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ansamblu, migrația de revenire reflectă transformările profunde ale societății moldovenești contemporane, constituind un indicator al globalizării și al interconectării tot mai accentuate dintre Republica Moldova și spațiul european. Gestionarea eficientă a acestui fenomen presupune elaborarea și implementarea unor politici publice coerente, capabile să transforme revenirea într-o oportunitate reală de dezvoltare socială și economică. Astfel, migrația de revenire a moldovenilor cu experiență de mobilitate în România devine o componentă esențială a circuitului transnațional Moldova–România–Uniunea Europeană, reflectând atât dinamica mobilității regionale, cât și procesul de europenizare socială mediat prin diaspora.</w:t>
      </w:r>
    </w:p>
    <w:p w14:paraId="2CE3F420" w14:textId="4DACDE86" w:rsidR="0021594E" w:rsidRPr="0021594E" w:rsidRDefault="0021594E" w:rsidP="00F44B81">
      <w:pPr>
        <w:spacing w:before="240" w:after="240" w:line="360" w:lineRule="auto"/>
        <w:jc w:val="both"/>
        <w:rPr>
          <w:rFonts w:ascii="Times New Roman" w:eastAsia="Times New Roman" w:hAnsi="Times New Roman" w:cs="Times New Roman"/>
          <w:sz w:val="24"/>
          <w:szCs w:val="24"/>
        </w:rPr>
      </w:pPr>
      <w:r w:rsidRPr="0021594E">
        <w:rPr>
          <w:rFonts w:ascii="Times New Roman" w:eastAsia="Times New Roman" w:hAnsi="Times New Roman" w:cs="Times New Roman"/>
          <w:sz w:val="24"/>
          <w:szCs w:val="24"/>
        </w:rPr>
        <w:t xml:space="preserve">În general, Republica Moldova a demonstrat un interes sporit față de problema migrației de revenire încă din 2012, stimulând înființarea unor noi instituții (Biroul Relații cu </w:t>
      </w:r>
      <w:r w:rsidR="005E4BEF">
        <w:rPr>
          <w:rFonts w:ascii="Times New Roman" w:eastAsia="Times New Roman" w:hAnsi="Times New Roman" w:cs="Times New Roman"/>
          <w:sz w:val="24"/>
          <w:szCs w:val="24"/>
        </w:rPr>
        <w:t>D</w:t>
      </w:r>
      <w:r w:rsidRPr="0021594E">
        <w:rPr>
          <w:rFonts w:ascii="Times New Roman" w:eastAsia="Times New Roman" w:hAnsi="Times New Roman" w:cs="Times New Roman"/>
          <w:sz w:val="24"/>
          <w:szCs w:val="24"/>
        </w:rPr>
        <w:t xml:space="preserve">iaspora, Asociațiile de </w:t>
      </w:r>
      <w:r w:rsidR="005E4BEF">
        <w:rPr>
          <w:rFonts w:ascii="Times New Roman" w:eastAsia="Times New Roman" w:hAnsi="Times New Roman" w:cs="Times New Roman"/>
          <w:sz w:val="24"/>
          <w:szCs w:val="24"/>
        </w:rPr>
        <w:t>D</w:t>
      </w:r>
      <w:r w:rsidRPr="0021594E">
        <w:rPr>
          <w:rFonts w:ascii="Times New Roman" w:eastAsia="Times New Roman" w:hAnsi="Times New Roman" w:cs="Times New Roman"/>
          <w:sz w:val="24"/>
          <w:szCs w:val="24"/>
        </w:rPr>
        <w:t>iaspora), promovând o serie politici migraționiste, documente strategice axate pe gestiunea fenomenului migrației (</w:t>
      </w:r>
      <w:r w:rsidR="005E4BEF">
        <w:rPr>
          <w:rFonts w:ascii="Times New Roman" w:eastAsia="Times New Roman" w:hAnsi="Times New Roman" w:cs="Times New Roman"/>
          <w:sz w:val="24"/>
          <w:szCs w:val="24"/>
        </w:rPr>
        <w:t xml:space="preserve">de exemplu: </w:t>
      </w:r>
      <w:hyperlink r:id="rId8" w:history="1">
        <w:r w:rsidR="005E4BEF" w:rsidRPr="005E4BEF">
          <w:rPr>
            <w:rStyle w:val="Hyperlink"/>
            <w:rFonts w:ascii="Times New Roman" w:hAnsi="Times New Roman" w:cs="Times New Roman"/>
            <w:sz w:val="24"/>
            <w:szCs w:val="24"/>
          </w:rPr>
          <w:t>Mecanismul de coordonare a politicii de stat în domeniul diasporei, migraţiei și dezvoltării</w:t>
        </w:r>
      </w:hyperlink>
      <w:r w:rsidRPr="0021594E">
        <w:rPr>
          <w:rFonts w:ascii="Times New Roman" w:eastAsia="Times New Roman" w:hAnsi="Times New Roman" w:cs="Times New Roman"/>
          <w:sz w:val="24"/>
          <w:szCs w:val="24"/>
        </w:rPr>
        <w:t xml:space="preserve">) și implementând o serie de instrumente de politici și programe specifice domeniului. </w:t>
      </w:r>
    </w:p>
    <w:p w14:paraId="4019475E" w14:textId="77777777" w:rsidR="0021594E"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În acea perioadă, în politicile de revenire și reintegrare a migranților reîntorși accentul era pus, mai degrabă, pe obiectivul de informare a diasporei asupra oportunităților economice existente în țară. Pentru că erau promovate mai mult la nivel central, politicile de revenire a migranților au privit migrația de revenire la nivel individual, oferind servicii și instrumente de reintegrare pentru cetățeni și nu pentru comunități. Drept rezultat, chiar dacă și existau inițiative și politici coerente, nivelul de cunoaștere al acestora de către migranții reveniți era scăzut, iar impactul lor a fost mult mai mic decât era așteptat.</w:t>
      </w:r>
    </w:p>
    <w:p w14:paraId="24D3AF87" w14:textId="2B136FFE" w:rsidR="0021594E" w:rsidRPr="00F44B81" w:rsidRDefault="0021594E"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lastRenderedPageBreak/>
        <w:t xml:space="preserve">Agenția Națională pentru Ocuparea Forței de Muncă a devenit o instituție-cheie de integrare pe piața muncii a migranților reîntorși, implementând diverse programe de reintegrare socială și plasare în câmpul muncii a acestui grup de persoane. Cu toate acestea, </w:t>
      </w:r>
      <w:r w:rsidR="005E4BEF" w:rsidRPr="00F44B81">
        <w:rPr>
          <w:rFonts w:ascii="Times New Roman" w:eastAsia="Times New Roman" w:hAnsi="Times New Roman" w:cs="Times New Roman"/>
          <w:sz w:val="24"/>
          <w:szCs w:val="24"/>
        </w:rPr>
        <w:t>interesul</w:t>
      </w:r>
      <w:r w:rsidRPr="00F44B81">
        <w:rPr>
          <w:rFonts w:ascii="Times New Roman" w:eastAsia="Times New Roman" w:hAnsi="Times New Roman" w:cs="Times New Roman"/>
          <w:sz w:val="24"/>
          <w:szCs w:val="24"/>
        </w:rPr>
        <w:t xml:space="preserve"> migranților reîntorși de a se adresa la această instituție a fost destul de modest. Pe parcursul anului 2024, la Agențiile teritoriale de ocupare a forței de muncă s-au adresat în căutarea unui loc de muncă doar 908 persoane reîntoarse în țară, din care s-au înregistrat cu statut de șomer - 573 persoane. Din acestea au fost angajate în câmpul muncii - 237 persoane (41%), din care 27% sunt femei</w:t>
      </w:r>
      <w:r w:rsidR="00AC45D7">
        <w:rPr>
          <w:rStyle w:val="FootnoteReference"/>
          <w:rFonts w:ascii="Times New Roman" w:eastAsia="Times New Roman" w:hAnsi="Times New Roman" w:cs="Times New Roman"/>
          <w:sz w:val="24"/>
          <w:szCs w:val="24"/>
        </w:rPr>
        <w:footnoteReference w:id="5"/>
      </w:r>
      <w:r w:rsidRPr="00F44B81">
        <w:rPr>
          <w:rFonts w:ascii="Times New Roman" w:eastAsia="Times New Roman" w:hAnsi="Times New Roman" w:cs="Times New Roman"/>
          <w:sz w:val="24"/>
          <w:szCs w:val="24"/>
        </w:rPr>
        <w:t>.</w:t>
      </w:r>
    </w:p>
    <w:p w14:paraId="6801815E" w14:textId="77777777" w:rsidR="00CA253F" w:rsidRPr="00F44B81" w:rsidRDefault="008130E6"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Reintegrarea durabilă a migranților reveniți în comunitățile de origine presupune asigurarea accesului egal la protecție socială, servicii publice, justiție, sprijin psihosocial, formare profesională, ocuparea forței de muncă și condiții de muncă decente (OIM, Pactul Global pentru Migrație, 2018).</w:t>
      </w:r>
    </w:p>
    <w:p w14:paraId="1CCCDD40" w14:textId="77777777" w:rsidR="00CA253F" w:rsidRPr="00F44B81" w:rsidRDefault="008130E6"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Cu toate acestea, numeroase politici sociale existente în domeniul migrației de revenire sunt formulate într-o manieră excesiv de generală și nu răspund nevoilor specifice ale migranților, ceea ce le limitează eficacitatea în întreruperea ciclurilor migraționale repetitive. Migrația de revenire nu trebuie abordată ca un proces uniform, ci ca o experiență complexă și diversă, influențată de factori precum momentul revenirii, gradul de realizare a obiectivelor migraționale, nivelul de constrângere implicat în procesul de întoarcere și nivelul de pregătire atât al migranților, cât și al actorilor instituționali responsabili de reintegrare (Battistella, 2018).</w:t>
      </w:r>
    </w:p>
    <w:p w14:paraId="7A509B84" w14:textId="77777777" w:rsidR="00CA253F" w:rsidRPr="00F44B81" w:rsidRDefault="008130E6" w:rsidP="00F44B81">
      <w:pPr>
        <w:spacing w:before="240" w:after="240" w:line="360" w:lineRule="auto"/>
        <w:jc w:val="both"/>
        <w:rPr>
          <w:rFonts w:ascii="Times New Roman" w:eastAsia="Times New Roman" w:hAnsi="Times New Roman" w:cs="Times New Roman"/>
          <w:b/>
          <w:bCs/>
          <w:sz w:val="24"/>
          <w:szCs w:val="24"/>
        </w:rPr>
      </w:pPr>
      <w:r w:rsidRPr="00F44B81">
        <w:rPr>
          <w:rFonts w:ascii="Times New Roman" w:eastAsia="Times New Roman" w:hAnsi="Times New Roman" w:cs="Times New Roman"/>
          <w:sz w:val="24"/>
          <w:szCs w:val="24"/>
        </w:rPr>
        <w:t xml:space="preserve">Autoritățile naționale din Republica Moldova au adoptat o abordare duală, care vizează atât consolidarea angajamentului instituțional față de diaspora, cât și implementarea unor inițiative specifice menite să faciliteze și să stimuleze reîntoarcerea migranților. </w:t>
      </w:r>
    </w:p>
    <w:p w14:paraId="016B0ACC" w14:textId="77777777" w:rsidR="00CA253F" w:rsidRPr="007D453B" w:rsidRDefault="008130E6">
      <w:pPr>
        <w:spacing w:before="240"/>
        <w:rPr>
          <w:rFonts w:ascii="Times New Roman" w:eastAsia="Times New Roman" w:hAnsi="Times New Roman" w:cs="Times New Roman"/>
          <w:b/>
          <w:bCs/>
          <w:color w:val="31849B" w:themeColor="accent5" w:themeShade="BF"/>
          <w:sz w:val="24"/>
          <w:szCs w:val="24"/>
        </w:rPr>
      </w:pPr>
      <w:r w:rsidRPr="007D453B">
        <w:rPr>
          <w:rFonts w:ascii="Times New Roman" w:eastAsia="Times New Roman" w:hAnsi="Times New Roman" w:cs="Times New Roman"/>
          <w:b/>
          <w:bCs/>
          <w:color w:val="31849B" w:themeColor="accent5" w:themeShade="BF"/>
          <w:sz w:val="24"/>
          <w:szCs w:val="24"/>
        </w:rPr>
        <w:t>2.  Obiectivele analizei</w:t>
      </w:r>
    </w:p>
    <w:p w14:paraId="0289E0B2" w14:textId="77777777" w:rsidR="00E57F85" w:rsidRPr="00E57F85" w:rsidRDefault="00E57F85" w:rsidP="00E57F85">
      <w:pPr>
        <w:spacing w:before="240" w:line="360" w:lineRule="auto"/>
        <w:jc w:val="both"/>
        <w:rPr>
          <w:rFonts w:ascii="Times New Roman" w:eastAsia="Times New Roman" w:hAnsi="Times New Roman" w:cs="Times New Roman"/>
          <w:bCs/>
          <w:sz w:val="24"/>
          <w:szCs w:val="24"/>
        </w:rPr>
      </w:pPr>
      <w:r w:rsidRPr="00E57F85">
        <w:rPr>
          <w:rFonts w:ascii="Times New Roman" w:eastAsia="Times New Roman" w:hAnsi="Times New Roman" w:cs="Times New Roman"/>
          <w:bCs/>
          <w:sz w:val="24"/>
          <w:szCs w:val="24"/>
        </w:rPr>
        <w:t xml:space="preserve">Scopul principal al acestui raport este de a analiza politicile publice și alte măsuri implementate de autoritățile publice și de actori non-statali (organizații neguvernamentale, asociații, inițiative comunitare etc.) în vederea sprijinirii migranților moldoveni, cu un accent deosebit asupra persoanelor cu intenție de revenire sau deja reîntoarse în Republica Moldova. Raportul urmărește </w:t>
      </w:r>
      <w:r w:rsidRPr="00E57F85">
        <w:rPr>
          <w:rFonts w:ascii="Times New Roman" w:eastAsia="Times New Roman" w:hAnsi="Times New Roman" w:cs="Times New Roman"/>
          <w:bCs/>
          <w:sz w:val="24"/>
          <w:szCs w:val="24"/>
        </w:rPr>
        <w:lastRenderedPageBreak/>
        <w:t>identificarea și evaluarea eficienței inițiativelor guvernamentale și neguvernamentale dedicate migranților reveniți, compararea măsurilor destinate diasporei cu cele orientate către reintegrarea reîntorșilor, precum și evidențierea impactului pozitiv al intervențiilor existente, alături de lacunele și limitările care reduc eficacitatea acestora.</w:t>
      </w:r>
    </w:p>
    <w:p w14:paraId="7E7DC30F" w14:textId="77777777" w:rsidR="00CA253F" w:rsidRPr="007D453B" w:rsidRDefault="008130E6">
      <w:pPr>
        <w:spacing w:before="240"/>
        <w:rPr>
          <w:rFonts w:ascii="Times New Roman" w:eastAsia="Times New Roman" w:hAnsi="Times New Roman" w:cs="Times New Roman"/>
          <w:b/>
          <w:bCs/>
          <w:color w:val="31849B" w:themeColor="accent5" w:themeShade="BF"/>
          <w:sz w:val="24"/>
          <w:szCs w:val="24"/>
        </w:rPr>
      </w:pPr>
      <w:r w:rsidRPr="007D453B">
        <w:rPr>
          <w:rFonts w:ascii="Times New Roman" w:eastAsia="Times New Roman" w:hAnsi="Times New Roman" w:cs="Times New Roman"/>
          <w:b/>
          <w:bCs/>
          <w:color w:val="31849B" w:themeColor="accent5" w:themeShade="BF"/>
          <w:sz w:val="24"/>
          <w:szCs w:val="24"/>
        </w:rPr>
        <w:t>3. Metodologie</w:t>
      </w:r>
    </w:p>
    <w:p w14:paraId="39B11D35" w14:textId="77777777" w:rsidR="00DE3377" w:rsidRPr="00DE3377" w:rsidRDefault="00DE3377" w:rsidP="00F44B81">
      <w:pPr>
        <w:spacing w:before="240" w:line="360" w:lineRule="auto"/>
        <w:jc w:val="both"/>
        <w:rPr>
          <w:rFonts w:ascii="Times New Roman" w:eastAsia="Times New Roman" w:hAnsi="Times New Roman" w:cs="Times New Roman"/>
          <w:bCs/>
          <w:sz w:val="24"/>
          <w:szCs w:val="24"/>
        </w:rPr>
      </w:pPr>
      <w:r w:rsidRPr="00DE3377">
        <w:rPr>
          <w:rFonts w:ascii="Times New Roman" w:eastAsia="Times New Roman" w:hAnsi="Times New Roman" w:cs="Times New Roman"/>
          <w:bCs/>
          <w:sz w:val="24"/>
          <w:szCs w:val="24"/>
        </w:rPr>
        <w:t>Acest studiu utilizează o abordare calitativă de tip studiu de caz, având context</w:t>
      </w:r>
      <w:r>
        <w:rPr>
          <w:rFonts w:ascii="Times New Roman" w:eastAsia="Times New Roman" w:hAnsi="Times New Roman" w:cs="Times New Roman"/>
          <w:bCs/>
          <w:sz w:val="24"/>
          <w:szCs w:val="24"/>
        </w:rPr>
        <w:t>ul</w:t>
      </w:r>
      <w:r w:rsidRPr="00DE3377">
        <w:rPr>
          <w:rFonts w:ascii="Times New Roman" w:eastAsia="Times New Roman" w:hAnsi="Times New Roman" w:cs="Times New Roman"/>
          <w:bCs/>
          <w:sz w:val="24"/>
          <w:szCs w:val="24"/>
        </w:rPr>
        <w:t xml:space="preserve"> național</w:t>
      </w:r>
      <w:r>
        <w:rPr>
          <w:rFonts w:ascii="Times New Roman" w:eastAsia="Times New Roman" w:hAnsi="Times New Roman" w:cs="Times New Roman"/>
          <w:bCs/>
          <w:sz w:val="24"/>
          <w:szCs w:val="24"/>
        </w:rPr>
        <w:t xml:space="preserve"> al Republicii Moldova</w:t>
      </w:r>
      <w:r w:rsidRPr="00DE337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cadru </w:t>
      </w:r>
      <w:r w:rsidRPr="00DE3377">
        <w:rPr>
          <w:rFonts w:ascii="Times New Roman" w:eastAsia="Times New Roman" w:hAnsi="Times New Roman" w:cs="Times New Roman"/>
          <w:bCs/>
          <w:sz w:val="24"/>
          <w:szCs w:val="24"/>
        </w:rPr>
        <w:t>pentru examinarea politicilor publice, a datelor statistice și a răspunsurilor instituționale privind migranții reveniți</w:t>
      </w:r>
      <w:r>
        <w:rPr>
          <w:rFonts w:ascii="Times New Roman" w:eastAsia="Times New Roman" w:hAnsi="Times New Roman" w:cs="Times New Roman"/>
          <w:bCs/>
          <w:sz w:val="24"/>
          <w:szCs w:val="24"/>
        </w:rPr>
        <w:t>, dar și cei care sunt încă în diaspora</w:t>
      </w:r>
      <w:r w:rsidRPr="00DE3377">
        <w:rPr>
          <w:rFonts w:ascii="Times New Roman" w:eastAsia="Times New Roman" w:hAnsi="Times New Roman" w:cs="Times New Roman"/>
          <w:bCs/>
          <w:sz w:val="24"/>
          <w:szCs w:val="24"/>
        </w:rPr>
        <w:t>. Această opțiune metodologică este adecvată obiectivului analizei, care urmărește oferirea unei perspective aprofundate și sensibile la context asupra unui fenomen social complex, situat la intersecția dintre migrație și politicile publice. Așa cum subliniază Yin (2005: 30), studiile de caz contribuie la aprofundarea înțelegerii indivizilor, grupurilor, societăților și fenomenelor politice, prin integrarea explicită a condițiilor contextuale esențiale pentru interpretarea corectă a fenomenului analizat.</w:t>
      </w:r>
    </w:p>
    <w:p w14:paraId="5ABA440F" w14:textId="77777777" w:rsidR="00DE3377" w:rsidRPr="00DE3377" w:rsidRDefault="00DE3377" w:rsidP="00F44B81">
      <w:pPr>
        <w:spacing w:before="240" w:line="360" w:lineRule="auto"/>
        <w:jc w:val="both"/>
        <w:rPr>
          <w:rFonts w:ascii="Times New Roman" w:eastAsia="Times New Roman" w:hAnsi="Times New Roman" w:cs="Times New Roman"/>
          <w:bCs/>
          <w:sz w:val="24"/>
          <w:szCs w:val="24"/>
        </w:rPr>
      </w:pPr>
      <w:r w:rsidRPr="00DE3377">
        <w:rPr>
          <w:rFonts w:ascii="Times New Roman" w:eastAsia="Times New Roman" w:hAnsi="Times New Roman" w:cs="Times New Roman"/>
          <w:bCs/>
          <w:sz w:val="24"/>
          <w:szCs w:val="24"/>
        </w:rPr>
        <w:t>Analiza se bazează pe metoda analizei calitative a documentelor și utilizează exclusiv surse de date deschise și public disponibile. Acestea includ statistici naționale oficiale, documente de politici și legislative, strategii guvernamentale, rapoarte de cercetare, literatură academică, precum și materiale publice elaborate de instituții guvernamentale și organizații neguvernamentale din Republica Moldova.</w:t>
      </w:r>
    </w:p>
    <w:p w14:paraId="36D1CA11" w14:textId="77777777" w:rsidR="00F3008C" w:rsidRPr="007D453B" w:rsidRDefault="008130E6" w:rsidP="00F3008C">
      <w:pPr>
        <w:spacing w:before="240"/>
        <w:rPr>
          <w:rFonts w:ascii="Times New Roman" w:eastAsia="Times New Roman" w:hAnsi="Times New Roman" w:cs="Times New Roman"/>
          <w:b/>
          <w:bCs/>
          <w:color w:val="31849B" w:themeColor="accent5" w:themeShade="BF"/>
          <w:sz w:val="24"/>
          <w:szCs w:val="24"/>
          <w:lang w:eastAsia="ro-RO"/>
        </w:rPr>
      </w:pPr>
      <w:r w:rsidRPr="007D453B">
        <w:rPr>
          <w:rFonts w:ascii="Times New Roman" w:eastAsia="Times New Roman" w:hAnsi="Times New Roman" w:cs="Times New Roman"/>
          <w:b/>
          <w:bCs/>
          <w:color w:val="31849B" w:themeColor="accent5" w:themeShade="BF"/>
          <w:sz w:val="24"/>
          <w:szCs w:val="24"/>
        </w:rPr>
        <w:t xml:space="preserve">4. </w:t>
      </w:r>
      <w:r w:rsidR="00F3008C" w:rsidRPr="007D453B">
        <w:rPr>
          <w:rFonts w:ascii="Times New Roman" w:eastAsia="Times New Roman" w:hAnsi="Times New Roman" w:cs="Times New Roman"/>
          <w:b/>
          <w:bCs/>
          <w:color w:val="31849B" w:themeColor="accent5" w:themeShade="BF"/>
          <w:sz w:val="24"/>
          <w:szCs w:val="24"/>
          <w:lang w:eastAsia="ro-RO"/>
        </w:rPr>
        <w:t>Cadru de politici și programe existente în Republica Moldova pentru  diaspora și politici pentru migranții care se întorc</w:t>
      </w:r>
    </w:p>
    <w:p w14:paraId="2941C71E" w14:textId="7BE192DE" w:rsidR="00DE3377" w:rsidRPr="00F44B81" w:rsidRDefault="008130E6" w:rsidP="00F44B81">
      <w:pPr>
        <w:spacing w:before="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Chiar dacă, în ultimii ani, Republica Moldova înregistrează creșteri economice, o mai bună conexiune cu piața internațională, ea rămâne a fi o țară cu PIB c.locuitor in jur de 6000 dolari, conform datelor Băncii Mondiale (2024) și un nivel al salariilor destul de modest, ceea ce stimulează în continuare procesul de emigrare a forței de muncă și lipsa interesului din partea Diasporei pentru a reveni. Conform Biroului Național de Statistică</w:t>
      </w:r>
      <w:r w:rsidR="00AC45D7">
        <w:rPr>
          <w:rStyle w:val="FootnoteReference"/>
          <w:rFonts w:ascii="Times New Roman" w:eastAsia="Times New Roman" w:hAnsi="Times New Roman" w:cs="Times New Roman"/>
          <w:sz w:val="24"/>
          <w:szCs w:val="24"/>
        </w:rPr>
        <w:footnoteReference w:id="6"/>
      </w:r>
      <w:r w:rsidRPr="00F44B81">
        <w:rPr>
          <w:rFonts w:ascii="Times New Roman" w:eastAsia="Times New Roman" w:hAnsi="Times New Roman" w:cs="Times New Roman"/>
          <w:sz w:val="24"/>
          <w:szCs w:val="24"/>
        </w:rPr>
        <w:t xml:space="preserve">, peste un milion de oameni au migrat din Moldova. Mai grav este ca din 1992, cand se înregistrau 4 milioane de cetățeni, conform recensământului din martie 2025, numărului cetățenilor moldoveni este de doar 2.3 milioane. </w:t>
      </w:r>
      <w:r w:rsidRPr="00F44B81">
        <w:rPr>
          <w:rFonts w:ascii="Times New Roman" w:eastAsia="Times New Roman" w:hAnsi="Times New Roman" w:cs="Times New Roman"/>
          <w:sz w:val="24"/>
          <w:szCs w:val="24"/>
        </w:rPr>
        <w:lastRenderedPageBreak/>
        <w:t xml:space="preserve">Conform estimărilor oferite de Ministerul Afacerilor Externe a RM, diaspora moldovenească numără aproximativ 1,1-1,25 milioane de persoane, în anul 2024. Aceste cifre includ atât înregistrări oficiale, cât și estimări neoficiale, deoarece nu toate țările oferă statistici complete. </w:t>
      </w:r>
    </w:p>
    <w:p w14:paraId="5B8094AD" w14:textId="77777777" w:rsidR="00CA253F" w:rsidRDefault="008130E6">
      <w:pPr>
        <w:spacing w:before="240" w:after="240"/>
        <w:jc w:val="both"/>
        <w:rPr>
          <w:rFonts w:ascii="Times New Roman" w:eastAsia="Times New Roman" w:hAnsi="Times New Roman" w:cs="Times New Roman"/>
          <w:b/>
          <w:bCs/>
          <w:sz w:val="24"/>
          <w:szCs w:val="24"/>
        </w:rPr>
      </w:pPr>
      <w:r w:rsidRPr="00DE3377">
        <w:rPr>
          <w:rFonts w:ascii="Times New Roman" w:eastAsia="Times New Roman" w:hAnsi="Times New Roman" w:cs="Times New Roman"/>
          <w:i/>
          <w:sz w:val="24"/>
          <w:szCs w:val="24"/>
        </w:rPr>
        <w:t xml:space="preserve">Tabelul </w:t>
      </w:r>
      <w:r w:rsidR="00DE3377" w:rsidRPr="00DE3377">
        <w:rPr>
          <w:rFonts w:ascii="Times New Roman" w:eastAsia="Times New Roman" w:hAnsi="Times New Roman" w:cs="Times New Roman"/>
          <w:i/>
          <w:sz w:val="24"/>
          <w:szCs w:val="24"/>
        </w:rPr>
        <w:t xml:space="preserve">2. </w:t>
      </w:r>
      <w:r w:rsidR="00F3008C">
        <w:rPr>
          <w:rFonts w:ascii="Times New Roman" w:eastAsia="Times New Roman" w:hAnsi="Times New Roman" w:cs="Times New Roman"/>
          <w:i/>
          <w:sz w:val="24"/>
          <w:szCs w:val="24"/>
        </w:rPr>
        <w:t>Estimări emigranți moldoveni - țări de destinație</w:t>
      </w:r>
    </w:p>
    <w:tbl>
      <w:tblPr>
        <w:tblStyle w:val="GridTable2-Accent5"/>
        <w:tblW w:w="4560" w:type="dxa"/>
        <w:tblLayout w:type="fixed"/>
        <w:tblLook w:val="0600" w:firstRow="0" w:lastRow="0" w:firstColumn="0" w:lastColumn="0" w:noHBand="1" w:noVBand="1"/>
      </w:tblPr>
      <w:tblGrid>
        <w:gridCol w:w="1710"/>
        <w:gridCol w:w="2850"/>
      </w:tblGrid>
      <w:tr w:rsidR="00CA253F" w:rsidRPr="00F3008C" w14:paraId="59781D89" w14:textId="77777777" w:rsidTr="00CC2492">
        <w:trPr>
          <w:trHeight w:val="911"/>
        </w:trPr>
        <w:tc>
          <w:tcPr>
            <w:tcW w:w="1710" w:type="dxa"/>
          </w:tcPr>
          <w:p w14:paraId="6ED49553"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Țară</w:t>
            </w:r>
          </w:p>
        </w:tc>
        <w:tc>
          <w:tcPr>
            <w:tcW w:w="2850" w:type="dxa"/>
          </w:tcPr>
          <w:p w14:paraId="6C71813E"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Număr Oficial/Estimare (mii, 2023-2024)</w:t>
            </w:r>
          </w:p>
        </w:tc>
      </w:tr>
      <w:tr w:rsidR="00CA253F" w:rsidRPr="00F3008C" w14:paraId="189920B3" w14:textId="77777777" w:rsidTr="00CC2492">
        <w:trPr>
          <w:trHeight w:val="285"/>
        </w:trPr>
        <w:tc>
          <w:tcPr>
            <w:tcW w:w="1710" w:type="dxa"/>
          </w:tcPr>
          <w:p w14:paraId="7011EDE7"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Rusia</w:t>
            </w:r>
          </w:p>
        </w:tc>
        <w:tc>
          <w:tcPr>
            <w:tcW w:w="2850" w:type="dxa"/>
          </w:tcPr>
          <w:p w14:paraId="7AE0AEA6"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190-354</w:t>
            </w:r>
          </w:p>
        </w:tc>
      </w:tr>
      <w:tr w:rsidR="00CA253F" w:rsidRPr="00F3008C" w14:paraId="3EB7419B" w14:textId="77777777" w:rsidTr="00CC2492">
        <w:trPr>
          <w:trHeight w:val="285"/>
        </w:trPr>
        <w:tc>
          <w:tcPr>
            <w:tcW w:w="1710" w:type="dxa"/>
          </w:tcPr>
          <w:p w14:paraId="45883963"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Italia</w:t>
            </w:r>
          </w:p>
        </w:tc>
        <w:tc>
          <w:tcPr>
            <w:tcW w:w="2850" w:type="dxa"/>
          </w:tcPr>
          <w:p w14:paraId="160E53F3"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192-300</w:t>
            </w:r>
          </w:p>
        </w:tc>
      </w:tr>
      <w:tr w:rsidR="00CA253F" w:rsidRPr="00F3008C" w14:paraId="6A0632DA" w14:textId="77777777" w:rsidTr="00CC2492">
        <w:trPr>
          <w:trHeight w:val="285"/>
        </w:trPr>
        <w:tc>
          <w:tcPr>
            <w:tcW w:w="1710" w:type="dxa"/>
          </w:tcPr>
          <w:p w14:paraId="175CB738"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Germania</w:t>
            </w:r>
          </w:p>
        </w:tc>
        <w:tc>
          <w:tcPr>
            <w:tcW w:w="2850" w:type="dxa"/>
          </w:tcPr>
          <w:p w14:paraId="5AEDA600"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100</w:t>
            </w:r>
          </w:p>
        </w:tc>
      </w:tr>
      <w:tr w:rsidR="00CA253F" w:rsidRPr="00F3008C" w14:paraId="0673089C" w14:textId="77777777" w:rsidTr="00CC2492">
        <w:trPr>
          <w:trHeight w:val="285"/>
        </w:trPr>
        <w:tc>
          <w:tcPr>
            <w:tcW w:w="1710" w:type="dxa"/>
          </w:tcPr>
          <w:p w14:paraId="0AD9C1C5"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Franța</w:t>
            </w:r>
          </w:p>
        </w:tc>
        <w:tc>
          <w:tcPr>
            <w:tcW w:w="2850" w:type="dxa"/>
          </w:tcPr>
          <w:p w14:paraId="5EEB5D9C"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100-160</w:t>
            </w:r>
          </w:p>
        </w:tc>
      </w:tr>
      <w:tr w:rsidR="00CA253F" w:rsidRPr="00F3008C" w14:paraId="3A68F2F3" w14:textId="77777777" w:rsidTr="00CC2492">
        <w:trPr>
          <w:trHeight w:val="285"/>
        </w:trPr>
        <w:tc>
          <w:tcPr>
            <w:tcW w:w="1710" w:type="dxa"/>
          </w:tcPr>
          <w:p w14:paraId="061E0179"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România</w:t>
            </w:r>
          </w:p>
        </w:tc>
        <w:tc>
          <w:tcPr>
            <w:tcW w:w="2850" w:type="dxa"/>
          </w:tcPr>
          <w:p w14:paraId="482B264B"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19-285</w:t>
            </w:r>
          </w:p>
        </w:tc>
      </w:tr>
      <w:tr w:rsidR="00CA253F" w:rsidRPr="00F3008C" w14:paraId="287ADA8B" w14:textId="77777777" w:rsidTr="00CC2492">
        <w:trPr>
          <w:trHeight w:val="285"/>
        </w:trPr>
        <w:tc>
          <w:tcPr>
            <w:tcW w:w="1710" w:type="dxa"/>
          </w:tcPr>
          <w:p w14:paraId="673D16BD"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Spania</w:t>
            </w:r>
          </w:p>
        </w:tc>
        <w:tc>
          <w:tcPr>
            <w:tcW w:w="2850" w:type="dxa"/>
          </w:tcPr>
          <w:p w14:paraId="2D9E2EEC"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35</w:t>
            </w:r>
          </w:p>
        </w:tc>
      </w:tr>
      <w:tr w:rsidR="00CA253F" w:rsidRPr="00F3008C" w14:paraId="18A023F9" w14:textId="77777777" w:rsidTr="00CC2492">
        <w:trPr>
          <w:trHeight w:val="555"/>
        </w:trPr>
        <w:tc>
          <w:tcPr>
            <w:tcW w:w="1710" w:type="dxa"/>
          </w:tcPr>
          <w:p w14:paraId="0C1ED2ED"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Marea Britanie</w:t>
            </w:r>
          </w:p>
        </w:tc>
        <w:tc>
          <w:tcPr>
            <w:tcW w:w="2850" w:type="dxa"/>
          </w:tcPr>
          <w:p w14:paraId="158E8C11"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42</w:t>
            </w:r>
          </w:p>
        </w:tc>
      </w:tr>
      <w:tr w:rsidR="00CA253F" w:rsidRPr="00F3008C" w14:paraId="73A4045E" w14:textId="77777777" w:rsidTr="00CC2492">
        <w:trPr>
          <w:trHeight w:val="285"/>
        </w:trPr>
        <w:tc>
          <w:tcPr>
            <w:tcW w:w="1710" w:type="dxa"/>
          </w:tcPr>
          <w:p w14:paraId="5290B8FC"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SUA</w:t>
            </w:r>
          </w:p>
        </w:tc>
        <w:tc>
          <w:tcPr>
            <w:tcW w:w="2850" w:type="dxa"/>
          </w:tcPr>
          <w:p w14:paraId="151577DD"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45-60</w:t>
            </w:r>
          </w:p>
        </w:tc>
      </w:tr>
      <w:tr w:rsidR="00CA253F" w:rsidRPr="00F3008C" w14:paraId="79B57C83" w14:textId="77777777" w:rsidTr="00CC2492">
        <w:trPr>
          <w:trHeight w:val="285"/>
        </w:trPr>
        <w:tc>
          <w:tcPr>
            <w:tcW w:w="1710" w:type="dxa"/>
          </w:tcPr>
          <w:p w14:paraId="764874FE"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Portugalia</w:t>
            </w:r>
          </w:p>
        </w:tc>
        <w:tc>
          <w:tcPr>
            <w:tcW w:w="2850" w:type="dxa"/>
          </w:tcPr>
          <w:p w14:paraId="54BD3560"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25-27</w:t>
            </w:r>
          </w:p>
        </w:tc>
      </w:tr>
      <w:tr w:rsidR="00CA253F" w:rsidRPr="00F3008C" w14:paraId="7E0564AB" w14:textId="77777777" w:rsidTr="00CC2492">
        <w:trPr>
          <w:trHeight w:val="285"/>
        </w:trPr>
        <w:tc>
          <w:tcPr>
            <w:tcW w:w="1710" w:type="dxa"/>
          </w:tcPr>
          <w:p w14:paraId="4276A939"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Grecia</w:t>
            </w:r>
          </w:p>
        </w:tc>
        <w:tc>
          <w:tcPr>
            <w:tcW w:w="2850" w:type="dxa"/>
          </w:tcPr>
          <w:p w14:paraId="5D46BE75"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20-30</w:t>
            </w:r>
          </w:p>
        </w:tc>
      </w:tr>
      <w:tr w:rsidR="00CA253F" w:rsidRPr="00F3008C" w14:paraId="04BC8B42" w14:textId="77777777" w:rsidTr="00CC2492">
        <w:trPr>
          <w:trHeight w:val="285"/>
        </w:trPr>
        <w:tc>
          <w:tcPr>
            <w:tcW w:w="1710" w:type="dxa"/>
          </w:tcPr>
          <w:p w14:paraId="2FF3EFFB" w14:textId="77777777" w:rsidR="00CA253F" w:rsidRPr="00F3008C" w:rsidRDefault="008130E6">
            <w:pPr>
              <w:spacing w:before="240" w:after="240"/>
              <w:jc w:val="both"/>
              <w:rPr>
                <w:rFonts w:ascii="Times New Roman" w:eastAsia="Times New Roman" w:hAnsi="Times New Roman" w:cs="Times New Roman"/>
                <w:b/>
                <w:bCs/>
                <w:sz w:val="24"/>
                <w:szCs w:val="24"/>
              </w:rPr>
            </w:pPr>
            <w:r w:rsidRPr="00F3008C">
              <w:rPr>
                <w:rFonts w:ascii="Times New Roman" w:eastAsia="Times New Roman" w:hAnsi="Times New Roman" w:cs="Times New Roman"/>
                <w:b/>
                <w:bCs/>
                <w:sz w:val="24"/>
                <w:szCs w:val="24"/>
              </w:rPr>
              <w:t>Ucraina</w:t>
            </w:r>
          </w:p>
        </w:tc>
        <w:tc>
          <w:tcPr>
            <w:tcW w:w="2850" w:type="dxa"/>
          </w:tcPr>
          <w:p w14:paraId="3C4A2D67" w14:textId="77777777" w:rsidR="00CA253F" w:rsidRPr="00F3008C" w:rsidRDefault="008130E6">
            <w:pPr>
              <w:spacing w:before="240" w:after="240"/>
              <w:jc w:val="both"/>
              <w:rPr>
                <w:rFonts w:ascii="Times New Roman" w:eastAsia="Times New Roman" w:hAnsi="Times New Roman" w:cs="Times New Roman"/>
                <w:bCs/>
                <w:sz w:val="24"/>
                <w:szCs w:val="24"/>
              </w:rPr>
            </w:pPr>
            <w:r w:rsidRPr="00F3008C">
              <w:rPr>
                <w:rFonts w:ascii="Times New Roman" w:eastAsia="Times New Roman" w:hAnsi="Times New Roman" w:cs="Times New Roman"/>
                <w:bCs/>
                <w:sz w:val="24"/>
                <w:szCs w:val="24"/>
              </w:rPr>
              <w:t>25-150</w:t>
            </w:r>
          </w:p>
        </w:tc>
      </w:tr>
    </w:tbl>
    <w:p w14:paraId="0E060371" w14:textId="77777777" w:rsidR="00F44B81" w:rsidRPr="00F44B81" w:rsidRDefault="008130E6" w:rsidP="00F44B81">
      <w:pPr>
        <w:spacing w:before="240" w:after="240" w:line="240" w:lineRule="auto"/>
        <w:jc w:val="both"/>
        <w:rPr>
          <w:rFonts w:ascii="Times New Roman" w:hAnsi="Times New Roman" w:cs="Times New Roman"/>
          <w:sz w:val="20"/>
          <w:szCs w:val="20"/>
        </w:rPr>
      </w:pPr>
      <w:r w:rsidRPr="00DE3377">
        <w:rPr>
          <w:rFonts w:ascii="Times New Roman" w:eastAsia="Times New Roman" w:hAnsi="Times New Roman" w:cs="Times New Roman"/>
          <w:bCs/>
          <w:sz w:val="24"/>
          <w:szCs w:val="24"/>
        </w:rPr>
        <w:t xml:space="preserve">Sursa: </w:t>
      </w:r>
      <w:r w:rsidR="00F44B81" w:rsidRPr="00F44B81">
        <w:rPr>
          <w:rFonts w:ascii="Times New Roman" w:hAnsi="Times New Roman" w:cs="Times New Roman"/>
          <w:sz w:val="20"/>
          <w:szCs w:val="20"/>
        </w:rPr>
        <w:t xml:space="preserve">Inspectoratul General pentru Migrație al Ministerului Afacerilor Interne al Republicii Moldova. (2024). </w:t>
      </w:r>
      <w:r w:rsidR="00F44B81" w:rsidRPr="00F44B81">
        <w:rPr>
          <w:rStyle w:val="Emphasis"/>
          <w:rFonts w:ascii="Times New Roman" w:hAnsi="Times New Roman" w:cs="Times New Roman"/>
          <w:sz w:val="20"/>
          <w:szCs w:val="20"/>
        </w:rPr>
        <w:t>Compendiu statistic al Profilului Migrațional Extins al Republicii Moldova pentru anii 2021–2023</w:t>
      </w:r>
      <w:r w:rsidR="00F44B81" w:rsidRPr="00F44B81">
        <w:rPr>
          <w:rFonts w:ascii="Times New Roman" w:hAnsi="Times New Roman" w:cs="Times New Roman"/>
          <w:sz w:val="20"/>
          <w:szCs w:val="20"/>
        </w:rPr>
        <w:t xml:space="preserve">. </w:t>
      </w:r>
      <w:hyperlink r:id="rId9" w:tgtFrame="_new" w:history="1">
        <w:r w:rsidR="00F44B81" w:rsidRPr="00F44B81">
          <w:rPr>
            <w:rStyle w:val="Hyperlink"/>
            <w:rFonts w:ascii="Times New Roman" w:hAnsi="Times New Roman" w:cs="Times New Roman"/>
            <w:sz w:val="20"/>
            <w:szCs w:val="20"/>
          </w:rPr>
          <w:t>https://igm.gov.md/wp-content/uploads/2024/12/Compendiul-Statistic-al-PME_-ed-2024.pdf</w:t>
        </w:r>
      </w:hyperlink>
    </w:p>
    <w:p w14:paraId="6C87B042" w14:textId="2ED72A13" w:rsidR="00F3008C" w:rsidRPr="00F44B81" w:rsidRDefault="008130E6" w:rsidP="00F44B81">
      <w:pPr>
        <w:spacing w:before="240" w:after="240"/>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lastRenderedPageBreak/>
        <w:t>Dacă ne referim la remitențe, principalele surse de remitențe pentru Republica Moldova provin din țări ca Rusia, Italia și alte țări din UE precum Germania, Franța, Spania, unde trăiesc cele mai mari comunități de diaspora moldovenească. Sumele anuale variază, dar remitențele reprezintă circa 10-13% din PIB, cu valori recente estimate la 1,5-2 miliarde USD anual, conform datelor BNM (Banca Națională a Moldovei) și BNS (Biroul Național de Statistică) din 2023-2024.</w:t>
      </w:r>
      <w:r w:rsidR="00AC45D7">
        <w:rPr>
          <w:rStyle w:val="FootnoteReference"/>
          <w:rFonts w:ascii="Times New Roman" w:eastAsia="Times New Roman" w:hAnsi="Times New Roman" w:cs="Times New Roman"/>
          <w:sz w:val="24"/>
          <w:szCs w:val="24"/>
        </w:rPr>
        <w:footnoteReference w:id="7"/>
      </w:r>
      <w:r w:rsidRPr="00F44B81">
        <w:rPr>
          <w:rFonts w:ascii="Times New Roman" w:eastAsia="Times New Roman" w:hAnsi="Times New Roman" w:cs="Times New Roman"/>
          <w:sz w:val="24"/>
          <w:szCs w:val="24"/>
        </w:rPr>
        <w:t xml:space="preserve"> </w:t>
      </w:r>
    </w:p>
    <w:p w14:paraId="2C81C8A4" w14:textId="77777777" w:rsidR="00CA253F" w:rsidRPr="00F3008C" w:rsidRDefault="008130E6">
      <w:pPr>
        <w:spacing w:before="240" w:after="240"/>
        <w:jc w:val="both"/>
        <w:rPr>
          <w:rFonts w:ascii="Times New Roman" w:eastAsia="Times New Roman" w:hAnsi="Times New Roman" w:cs="Times New Roman"/>
          <w:b/>
          <w:bCs/>
          <w:i/>
          <w:sz w:val="24"/>
          <w:szCs w:val="24"/>
        </w:rPr>
      </w:pPr>
      <w:r w:rsidRPr="00F3008C">
        <w:rPr>
          <w:rFonts w:ascii="Times New Roman" w:eastAsia="Times New Roman" w:hAnsi="Times New Roman" w:cs="Times New Roman"/>
          <w:i/>
          <w:sz w:val="24"/>
          <w:szCs w:val="24"/>
        </w:rPr>
        <w:t xml:space="preserve">Tabelul </w:t>
      </w:r>
      <w:r w:rsidR="00F3008C" w:rsidRPr="00F3008C">
        <w:rPr>
          <w:rFonts w:ascii="Times New Roman" w:eastAsia="Times New Roman" w:hAnsi="Times New Roman" w:cs="Times New Roman"/>
          <w:i/>
          <w:sz w:val="24"/>
          <w:szCs w:val="24"/>
        </w:rPr>
        <w:t>3. Remitențe financiare – țări trimițătoare</w:t>
      </w:r>
    </w:p>
    <w:tbl>
      <w:tblPr>
        <w:tblStyle w:val="GridTable2-Accent5"/>
        <w:tblW w:w="5175" w:type="dxa"/>
        <w:tblLayout w:type="fixed"/>
        <w:tblLook w:val="0600" w:firstRow="0" w:lastRow="0" w:firstColumn="0" w:lastColumn="0" w:noHBand="1" w:noVBand="1"/>
      </w:tblPr>
      <w:tblGrid>
        <w:gridCol w:w="2010"/>
        <w:gridCol w:w="2085"/>
        <w:gridCol w:w="1080"/>
      </w:tblGrid>
      <w:tr w:rsidR="00F3008C" w:rsidRPr="00F3008C" w14:paraId="25FBCBB5" w14:textId="77777777" w:rsidTr="00F3008C">
        <w:trPr>
          <w:trHeight w:val="825"/>
        </w:trPr>
        <w:tc>
          <w:tcPr>
            <w:tcW w:w="2010" w:type="dxa"/>
          </w:tcPr>
          <w:p w14:paraId="09FB0E61"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Țară/Sursă Principală</w:t>
            </w:r>
          </w:p>
        </w:tc>
        <w:tc>
          <w:tcPr>
            <w:tcW w:w="2085" w:type="dxa"/>
          </w:tcPr>
          <w:p w14:paraId="7F6347B2"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Sumă anuală (mld. USD, 2023-2024)</w:t>
            </w:r>
          </w:p>
        </w:tc>
        <w:tc>
          <w:tcPr>
            <w:tcW w:w="1080" w:type="dxa"/>
          </w:tcPr>
          <w:p w14:paraId="1EC27B2A"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Pondere (%)</w:t>
            </w:r>
          </w:p>
        </w:tc>
      </w:tr>
      <w:tr w:rsidR="00F3008C" w:rsidRPr="00F3008C" w14:paraId="76844CC7" w14:textId="77777777" w:rsidTr="00F3008C">
        <w:trPr>
          <w:trHeight w:val="285"/>
        </w:trPr>
        <w:tc>
          <w:tcPr>
            <w:tcW w:w="2010" w:type="dxa"/>
          </w:tcPr>
          <w:p w14:paraId="47C2A33D"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Rusia</w:t>
            </w:r>
          </w:p>
        </w:tc>
        <w:tc>
          <w:tcPr>
            <w:tcW w:w="2085" w:type="dxa"/>
          </w:tcPr>
          <w:p w14:paraId="10FD35C0"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0,5-0,8</w:t>
            </w:r>
          </w:p>
        </w:tc>
        <w:tc>
          <w:tcPr>
            <w:tcW w:w="1080" w:type="dxa"/>
          </w:tcPr>
          <w:p w14:paraId="5D03D161"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30-40</w:t>
            </w:r>
          </w:p>
        </w:tc>
      </w:tr>
      <w:tr w:rsidR="00F3008C" w:rsidRPr="00F3008C" w14:paraId="43F98A92" w14:textId="77777777" w:rsidTr="00F3008C">
        <w:trPr>
          <w:trHeight w:val="285"/>
        </w:trPr>
        <w:tc>
          <w:tcPr>
            <w:tcW w:w="2010" w:type="dxa"/>
          </w:tcPr>
          <w:p w14:paraId="4C8266A1"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Italia</w:t>
            </w:r>
          </w:p>
        </w:tc>
        <w:tc>
          <w:tcPr>
            <w:tcW w:w="2085" w:type="dxa"/>
          </w:tcPr>
          <w:p w14:paraId="41A7FD8A"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0,4-0,6</w:t>
            </w:r>
          </w:p>
        </w:tc>
        <w:tc>
          <w:tcPr>
            <w:tcW w:w="1080" w:type="dxa"/>
          </w:tcPr>
          <w:p w14:paraId="64B662CF"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25-30</w:t>
            </w:r>
          </w:p>
        </w:tc>
      </w:tr>
      <w:tr w:rsidR="00F3008C" w:rsidRPr="00F3008C" w14:paraId="23F80235" w14:textId="77777777" w:rsidTr="00F3008C">
        <w:trPr>
          <w:trHeight w:val="555"/>
        </w:trPr>
        <w:tc>
          <w:tcPr>
            <w:tcW w:w="2010" w:type="dxa"/>
          </w:tcPr>
          <w:p w14:paraId="5745E80B"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Germania, Franța, Spania</w:t>
            </w:r>
          </w:p>
        </w:tc>
        <w:tc>
          <w:tcPr>
            <w:tcW w:w="2085" w:type="dxa"/>
          </w:tcPr>
          <w:p w14:paraId="2FE3C224"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0,4-0,5</w:t>
            </w:r>
          </w:p>
        </w:tc>
        <w:tc>
          <w:tcPr>
            <w:tcW w:w="1080" w:type="dxa"/>
          </w:tcPr>
          <w:p w14:paraId="4F9BB83E"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20-25</w:t>
            </w:r>
          </w:p>
        </w:tc>
      </w:tr>
      <w:tr w:rsidR="00F3008C" w:rsidRPr="00F3008C" w14:paraId="3B774047" w14:textId="77777777" w:rsidTr="00F3008C">
        <w:trPr>
          <w:trHeight w:val="555"/>
        </w:trPr>
        <w:tc>
          <w:tcPr>
            <w:tcW w:w="2010" w:type="dxa"/>
          </w:tcPr>
          <w:p w14:paraId="7C79835E"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SUA, România, Portugalia)</w:t>
            </w:r>
          </w:p>
        </w:tc>
        <w:tc>
          <w:tcPr>
            <w:tcW w:w="2085" w:type="dxa"/>
          </w:tcPr>
          <w:p w14:paraId="5CB19E5D"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0,2-0,3</w:t>
            </w:r>
          </w:p>
        </w:tc>
        <w:tc>
          <w:tcPr>
            <w:tcW w:w="1080" w:type="dxa"/>
          </w:tcPr>
          <w:p w14:paraId="2515414F"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10-15</w:t>
            </w:r>
          </w:p>
        </w:tc>
      </w:tr>
      <w:tr w:rsidR="00F3008C" w:rsidRPr="00F3008C" w14:paraId="7DF83A0C" w14:textId="77777777" w:rsidTr="00F3008C">
        <w:trPr>
          <w:trHeight w:val="285"/>
        </w:trPr>
        <w:tc>
          <w:tcPr>
            <w:tcW w:w="2010" w:type="dxa"/>
          </w:tcPr>
          <w:p w14:paraId="68E9AFB1" w14:textId="77777777" w:rsidR="00CA253F" w:rsidRPr="00F3008C" w:rsidRDefault="008130E6">
            <w:pPr>
              <w:spacing w:before="240" w:after="240"/>
              <w:jc w:val="both"/>
              <w:rPr>
                <w:rFonts w:ascii="Times New Roman" w:eastAsia="Times New Roman" w:hAnsi="Times New Roman" w:cs="Times New Roman"/>
                <w:b/>
                <w:bCs/>
                <w:color w:val="000000" w:themeColor="text1"/>
                <w:sz w:val="24"/>
                <w:szCs w:val="24"/>
              </w:rPr>
            </w:pPr>
            <w:r w:rsidRPr="00F3008C">
              <w:rPr>
                <w:rFonts w:ascii="Times New Roman" w:eastAsia="Times New Roman" w:hAnsi="Times New Roman" w:cs="Times New Roman"/>
                <w:b/>
                <w:bCs/>
                <w:color w:val="000000" w:themeColor="text1"/>
                <w:sz w:val="24"/>
                <w:szCs w:val="24"/>
              </w:rPr>
              <w:t>Total</w:t>
            </w:r>
          </w:p>
        </w:tc>
        <w:tc>
          <w:tcPr>
            <w:tcW w:w="2085" w:type="dxa"/>
          </w:tcPr>
          <w:p w14:paraId="68061993"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1,5-2,0</w:t>
            </w:r>
          </w:p>
        </w:tc>
        <w:tc>
          <w:tcPr>
            <w:tcW w:w="1080" w:type="dxa"/>
          </w:tcPr>
          <w:p w14:paraId="4D101B68" w14:textId="77777777" w:rsidR="00CA253F" w:rsidRPr="00F3008C" w:rsidRDefault="008130E6">
            <w:pPr>
              <w:spacing w:before="240" w:after="240"/>
              <w:jc w:val="both"/>
              <w:rPr>
                <w:rFonts w:ascii="Times New Roman" w:eastAsia="Times New Roman" w:hAnsi="Times New Roman" w:cs="Times New Roman"/>
                <w:bCs/>
                <w:color w:val="000000" w:themeColor="text1"/>
                <w:sz w:val="24"/>
                <w:szCs w:val="24"/>
              </w:rPr>
            </w:pPr>
            <w:r w:rsidRPr="00F3008C">
              <w:rPr>
                <w:rFonts w:ascii="Times New Roman" w:eastAsia="Times New Roman" w:hAnsi="Times New Roman" w:cs="Times New Roman"/>
                <w:bCs/>
                <w:color w:val="000000" w:themeColor="text1"/>
                <w:sz w:val="24"/>
                <w:szCs w:val="24"/>
              </w:rPr>
              <w:t>100</w:t>
            </w:r>
          </w:p>
        </w:tc>
      </w:tr>
    </w:tbl>
    <w:p w14:paraId="36D7D353" w14:textId="77777777" w:rsidR="00CA253F" w:rsidRDefault="00CA253F">
      <w:pPr>
        <w:spacing w:before="240" w:after="240"/>
        <w:jc w:val="both"/>
        <w:rPr>
          <w:rFonts w:ascii="Times New Roman" w:eastAsia="Times New Roman" w:hAnsi="Times New Roman" w:cs="Times New Roman"/>
          <w:b/>
          <w:bCs/>
          <w:sz w:val="24"/>
          <w:szCs w:val="24"/>
        </w:rPr>
      </w:pPr>
    </w:p>
    <w:p w14:paraId="10D2DF76" w14:textId="77777777" w:rsidR="00CA253F" w:rsidRDefault="008130E6" w:rsidP="00F44B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Republica Moldova implementează multiple inițiative guvernamentale și non-guvernamentale pentru menținerea legăturilor cu diaspora și facilitarea revenirii/reintegrării cetățenilor. Acestea se concentrează pe politici de stat, programe de investiții și antreprenoriat, cu accent pe reintegrare socială și economică. Există două abordări în acest scop, pe de o parte se identifică metode și mijloace de a menține în permanență legăturile cu cetășenii aflați în afara țării, dar și elaborarea unor programe de atragere și stimulare a migrației de revenire, conștientizându-se importanța forței de muncă, a factorului uman în economia națională. Toate proiecte se </w:t>
      </w:r>
      <w:r>
        <w:rPr>
          <w:rFonts w:ascii="Times New Roman" w:eastAsia="Times New Roman" w:hAnsi="Times New Roman" w:cs="Times New Roman"/>
          <w:sz w:val="24"/>
          <w:szCs w:val="24"/>
        </w:rPr>
        <w:lastRenderedPageBreak/>
        <w:t>desfășoară de către Guvernul Republicii Moldova prin intermediul instituțiilor sale cum ar fi Biroul pentru Relații cu Diaspora sau Organizația pentru Antreprenoriat si Dezvoltare.</w:t>
      </w:r>
    </w:p>
    <w:p w14:paraId="04D37036" w14:textId="77777777" w:rsidR="00F3008C" w:rsidRPr="00F3008C" w:rsidRDefault="00F3008C" w:rsidP="00F44B81">
      <w:pPr>
        <w:spacing w:before="240" w:after="240" w:line="360" w:lineRule="auto"/>
        <w:jc w:val="both"/>
        <w:rPr>
          <w:rFonts w:ascii="Times New Roman" w:eastAsia="Times New Roman" w:hAnsi="Times New Roman" w:cs="Times New Roman"/>
          <w:sz w:val="24"/>
          <w:szCs w:val="24"/>
        </w:rPr>
      </w:pPr>
      <w:r w:rsidRPr="00F3008C">
        <w:rPr>
          <w:rFonts w:ascii="Times New Roman" w:eastAsia="Times New Roman" w:hAnsi="Times New Roman" w:cs="Times New Roman"/>
          <w:sz w:val="24"/>
          <w:szCs w:val="24"/>
        </w:rPr>
        <w:t>Migrația de muncă din Republica Moldova s-a dovedit a fi destul de benefică, contribuind la creșterea economică, creșterea bunăstării populației, combaterea sărăciei etc. Totodată, pe lângă beneficiile economice și sociale, migrația de muncă a dus și la amplificarea anumitor riscuri sociale legate de dezechilibrele demografice și îmbătrânirea accelerată a populației, de creșterea presiunii asupra sistemului de securitate socială, de înrăutățirea indicatorilor pieței muncii și pierderea de capital uman. Orice stat este interesat să evite aceste riscuri sociale prin politicile sale migraționiste. În acest context, aceste politici trebuie să se bazeze, în primul rând, pe caracterul temporar al migrației de muncă, iar migranților trebuie să li se asigure întotdeauna posibilitatea și motivația de a se întoarce acasă. Unii migranți de muncă s-au întors acasă, iar o altă parte a migranților doresc să se întoarcă. Însă, condițiile actuale din Republica Moldova nu le permit acest lucru.</w:t>
      </w:r>
    </w:p>
    <w:p w14:paraId="2728630F" w14:textId="3A325225" w:rsidR="00F44B81" w:rsidRDefault="00F3008C" w:rsidP="00F44B81">
      <w:pPr>
        <w:spacing w:before="240" w:after="240" w:line="360" w:lineRule="auto"/>
        <w:jc w:val="both"/>
        <w:rPr>
          <w:rFonts w:ascii="Times New Roman" w:eastAsia="Times New Roman" w:hAnsi="Times New Roman" w:cs="Times New Roman"/>
          <w:sz w:val="24"/>
          <w:szCs w:val="24"/>
        </w:rPr>
      </w:pPr>
      <w:r w:rsidRPr="00F3008C">
        <w:rPr>
          <w:rFonts w:ascii="Times New Roman" w:eastAsia="Times New Roman" w:hAnsi="Times New Roman" w:cs="Times New Roman"/>
          <w:sz w:val="24"/>
          <w:szCs w:val="24"/>
        </w:rPr>
        <w:t>În ultimele două decenii Republica Moldova a dezvoltat măsuri importante de dezvoltare economică durabilă și un cadru normativ relativ complex, menit să susțină atât protecția drepturilor cetățenilor din țară, inclusiv cei aflați în afara țării, cât și reintegrarea lor la revenire.</w:t>
      </w:r>
      <w:r w:rsidR="00FD0077">
        <w:rPr>
          <w:rFonts w:ascii="Times New Roman" w:eastAsia="Times New Roman" w:hAnsi="Times New Roman" w:cs="Times New Roman"/>
          <w:sz w:val="24"/>
          <w:szCs w:val="24"/>
        </w:rPr>
        <w:t xml:space="preserve"> Tabelul 4 prezintă politicile axate pe sprijinul instituțional al migranților și încurajarea revenirii și incluziunii în Republica Moldova. </w:t>
      </w:r>
    </w:p>
    <w:p w14:paraId="7C2B111C" w14:textId="77777777" w:rsidR="00F3008C" w:rsidRPr="00F3008C" w:rsidRDefault="00F3008C" w:rsidP="00F3008C">
      <w:pPr>
        <w:spacing w:before="240" w:after="240"/>
        <w:jc w:val="both"/>
        <w:rPr>
          <w:rFonts w:ascii="Times New Roman" w:eastAsia="Times New Roman" w:hAnsi="Times New Roman" w:cs="Times New Roman"/>
          <w:i/>
          <w:sz w:val="24"/>
          <w:szCs w:val="24"/>
        </w:rPr>
      </w:pPr>
      <w:r w:rsidRPr="00F3008C">
        <w:rPr>
          <w:rFonts w:ascii="Times New Roman" w:eastAsia="Times New Roman" w:hAnsi="Times New Roman" w:cs="Times New Roman"/>
          <w:i/>
          <w:sz w:val="24"/>
          <w:szCs w:val="24"/>
        </w:rPr>
        <w:t>Tabelul 4. Documente de politici axate pe protecția socială a migranților de muncă și stimularea revenirii și integrării sociale a migranților de muncă din Republica Moldova</w:t>
      </w:r>
    </w:p>
    <w:tbl>
      <w:tblPr>
        <w:tblStyle w:val="ListTable2-Accent5"/>
        <w:tblW w:w="0" w:type="auto"/>
        <w:tblLook w:val="04A0" w:firstRow="1" w:lastRow="0" w:firstColumn="1" w:lastColumn="0" w:noHBand="0" w:noVBand="1"/>
      </w:tblPr>
      <w:tblGrid>
        <w:gridCol w:w="625"/>
        <w:gridCol w:w="2250"/>
        <w:gridCol w:w="6469"/>
      </w:tblGrid>
      <w:tr w:rsidR="00F3008C" w:rsidRPr="00F3008C" w14:paraId="528EAE20" w14:textId="77777777" w:rsidTr="00CC2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1B3C63B9" w14:textId="77777777" w:rsidR="00F3008C" w:rsidRPr="00F3008C" w:rsidRDefault="00F3008C" w:rsidP="00F3008C">
            <w:pPr>
              <w:spacing w:after="160"/>
              <w:jc w:val="both"/>
              <w:rPr>
                <w:rFonts w:ascii="Times New Roman" w:eastAsia="Times New Roman" w:hAnsi="Times New Roman" w:cs="Times New Roman"/>
                <w:sz w:val="20"/>
                <w:szCs w:val="20"/>
                <w:u w:val="single"/>
                <w:lang w:val="ro-RO" w:eastAsia="ro-RO"/>
              </w:rPr>
            </w:pPr>
            <w:r w:rsidRPr="00F3008C">
              <w:rPr>
                <w:rFonts w:ascii="Times New Roman" w:eastAsia="Times New Roman" w:hAnsi="Times New Roman" w:cs="Times New Roman"/>
                <w:sz w:val="20"/>
                <w:szCs w:val="20"/>
                <w:u w:val="single"/>
                <w:lang w:val="ro-RO" w:eastAsia="ro-RO"/>
              </w:rPr>
              <w:t>Nr.</w:t>
            </w:r>
          </w:p>
        </w:tc>
        <w:tc>
          <w:tcPr>
            <w:tcW w:w="2250" w:type="dxa"/>
          </w:tcPr>
          <w:p w14:paraId="76CA701E" w14:textId="77777777" w:rsidR="00F3008C" w:rsidRPr="00F3008C" w:rsidRDefault="00F3008C" w:rsidP="00F3008C">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Denumirea documentului</w:t>
            </w:r>
          </w:p>
        </w:tc>
        <w:tc>
          <w:tcPr>
            <w:tcW w:w="6469" w:type="dxa"/>
          </w:tcPr>
          <w:p w14:paraId="4F3C2CC7" w14:textId="77777777" w:rsidR="00F3008C" w:rsidRPr="00F3008C" w:rsidRDefault="00F3008C" w:rsidP="00F3008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Conținutul</w:t>
            </w:r>
          </w:p>
        </w:tc>
      </w:tr>
      <w:tr w:rsidR="00F3008C" w:rsidRPr="00F3008C" w14:paraId="04FA5747" w14:textId="77777777" w:rsidTr="00CC2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46BAE7AD" w14:textId="77777777" w:rsidR="00F3008C" w:rsidRPr="00F3008C" w:rsidRDefault="00F3008C" w:rsidP="00F3008C">
            <w:pPr>
              <w:spacing w:after="160"/>
              <w:jc w:val="both"/>
              <w:rPr>
                <w:rFonts w:ascii="Times New Roman" w:eastAsia="Times New Roman" w:hAnsi="Times New Roman" w:cs="Times New Roman"/>
                <w:b w:val="0"/>
                <w:bCs w:val="0"/>
                <w:sz w:val="20"/>
                <w:szCs w:val="20"/>
                <w:u w:val="single"/>
                <w:lang w:val="ro-RO" w:eastAsia="ro-RO"/>
              </w:rPr>
            </w:pPr>
          </w:p>
          <w:p w14:paraId="0B56C0D3"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p>
          <w:p w14:paraId="1A30247D" w14:textId="77777777" w:rsidR="00F3008C" w:rsidRPr="00F3008C" w:rsidRDefault="00F3008C" w:rsidP="00F3008C">
            <w:pPr>
              <w:spacing w:after="160"/>
              <w:jc w:val="both"/>
              <w:rPr>
                <w:rFonts w:ascii="Times New Roman" w:eastAsia="Times New Roman" w:hAnsi="Times New Roman" w:cs="Times New Roman"/>
                <w:b w:val="0"/>
                <w:bCs w:val="0"/>
                <w:sz w:val="20"/>
                <w:szCs w:val="20"/>
                <w:u w:val="single"/>
                <w:lang w:val="ro-RO" w:eastAsia="ro-RO"/>
              </w:rPr>
            </w:pPr>
            <w:r w:rsidRPr="00F3008C">
              <w:rPr>
                <w:rFonts w:ascii="Times New Roman" w:eastAsia="Times New Roman" w:hAnsi="Times New Roman" w:cs="Times New Roman"/>
                <w:sz w:val="20"/>
                <w:szCs w:val="20"/>
                <w:lang w:val="ro-RO" w:eastAsia="ro-RO"/>
              </w:rPr>
              <w:t>1.</w:t>
            </w:r>
          </w:p>
        </w:tc>
        <w:tc>
          <w:tcPr>
            <w:tcW w:w="2250" w:type="dxa"/>
          </w:tcPr>
          <w:p w14:paraId="43F48DFA"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u w:val="single"/>
                <w:lang w:val="ro-RO" w:eastAsia="ro-RO"/>
              </w:rPr>
              <w:t>Decretul Președintelui Republicii Moldova din anul 2000</w:t>
            </w:r>
            <w:r w:rsidRPr="00F3008C">
              <w:rPr>
                <w:rFonts w:ascii="Times New Roman" w:eastAsia="Times New Roman" w:hAnsi="Times New Roman" w:cs="Times New Roman"/>
                <w:b/>
                <w:bCs/>
                <w:sz w:val="20"/>
                <w:szCs w:val="20"/>
                <w:lang w:val="ro-RO" w:eastAsia="ro-RO"/>
              </w:rPr>
              <w:t xml:space="preserve"> „Privind susținerea persoanelor originare din Moldova, domiciliate peste hotare, și colaborarea cu acestea”</w:t>
            </w:r>
            <w:r w:rsidRPr="00F3008C">
              <w:rPr>
                <w:rFonts w:ascii="Times New Roman" w:eastAsia="Times New Roman" w:hAnsi="Times New Roman" w:cs="Times New Roman"/>
                <w:sz w:val="20"/>
                <w:szCs w:val="20"/>
                <w:vertAlign w:val="superscript"/>
                <w:lang w:val="ro-RO" w:eastAsia="ro-RO"/>
              </w:rPr>
              <w:footnoteReference w:id="8"/>
            </w:r>
          </w:p>
        </w:tc>
        <w:tc>
          <w:tcPr>
            <w:tcW w:w="6469" w:type="dxa"/>
          </w:tcPr>
          <w:p w14:paraId="17F77D00"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Acest document recunoaște importanța strategică a relației cu diaspora;</w:t>
            </w:r>
            <w:r w:rsidRPr="00F3008C">
              <w:rPr>
                <w:rFonts w:ascii="Times New Roman" w:eastAsia="Times New Roman" w:hAnsi="Times New Roman" w:cs="Times New Roman"/>
                <w:b/>
                <w:bCs/>
                <w:sz w:val="20"/>
                <w:szCs w:val="20"/>
                <w:lang w:val="ro-RO" w:eastAsia="ro-RO"/>
              </w:rPr>
              <w:t xml:space="preserve"> Obiective principale:</w:t>
            </w:r>
            <w:r w:rsidRPr="00F3008C">
              <w:rPr>
                <w:rFonts w:ascii="Times New Roman" w:eastAsia="Times New Roman" w:hAnsi="Times New Roman" w:cs="Times New Roman"/>
                <w:sz w:val="20"/>
                <w:szCs w:val="20"/>
                <w:lang w:val="ro-RO" w:eastAsia="ro-RO"/>
              </w:rPr>
              <w:t xml:space="preserve"> Susținerea persoanelor originare din Moldova aflate în afaceri și în domeniul agricol.  Promovarea integrării economice și sociale a migranților reveniți. Consolidarea legăturilor cu diaspora și stimularea transferurilor financiare și de cunoștințe. </w:t>
            </w:r>
          </w:p>
          <w:p w14:paraId="0C831FED"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Măsuri instituționale:</w:t>
            </w:r>
            <w:r w:rsidRPr="00F3008C">
              <w:rPr>
                <w:rFonts w:ascii="Times New Roman" w:eastAsia="Times New Roman" w:hAnsi="Times New Roman" w:cs="Times New Roman"/>
                <w:sz w:val="20"/>
                <w:szCs w:val="20"/>
                <w:lang w:val="ro-RO" w:eastAsia="ro-RO"/>
              </w:rPr>
              <w:t xml:space="preserve"> Crearea unui Consiliu coordonator permanent pentru problemele persoanelor originare din Moldova, care să asigure implementarea politicilor și măsurilor de susținere;  Elaborarea și implementarea unor planuri </w:t>
            </w:r>
            <w:r w:rsidRPr="00F3008C">
              <w:rPr>
                <w:rFonts w:ascii="Times New Roman" w:eastAsia="Times New Roman" w:hAnsi="Times New Roman" w:cs="Times New Roman"/>
                <w:sz w:val="20"/>
                <w:szCs w:val="20"/>
                <w:lang w:val="ro-RO" w:eastAsia="ro-RO"/>
              </w:rPr>
              <w:lastRenderedPageBreak/>
              <w:t>de acțiune pentru susținerea național-culturală și socială a diasporei moldovenești; Relevanță pentru reintegrarea cetățenilor reîntorși.</w:t>
            </w:r>
          </w:p>
          <w:p w14:paraId="1D6C800C"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 xml:space="preserve">Deși decretul se concentra în principal pe susținerea diasporei, principiile enunțate pot fi extrapolate pentru integrarea celor reîntorși, având în vedere: </w:t>
            </w:r>
            <w:r w:rsidRPr="00F3008C">
              <w:rPr>
                <w:rFonts w:ascii="Times New Roman" w:eastAsia="Times New Roman" w:hAnsi="Times New Roman" w:cs="Times New Roman"/>
                <w:b/>
                <w:bCs/>
                <w:sz w:val="20"/>
                <w:szCs w:val="20"/>
                <w:lang w:val="ro-RO" w:eastAsia="ro-RO"/>
              </w:rPr>
              <w:t>Accesul la servicii:</w:t>
            </w:r>
            <w:r w:rsidRPr="00F3008C">
              <w:rPr>
                <w:rFonts w:ascii="Times New Roman" w:eastAsia="Times New Roman" w:hAnsi="Times New Roman" w:cs="Times New Roman"/>
                <w:sz w:val="20"/>
                <w:szCs w:val="20"/>
                <w:lang w:val="ro-RO" w:eastAsia="ro-RO"/>
              </w:rPr>
              <w:t xml:space="preserve"> Asigurarea accesului la educație, sănătate și protecție socială. </w:t>
            </w:r>
          </w:p>
          <w:p w14:paraId="667901A2"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Recunoașterea drepturilor:</w:t>
            </w:r>
            <w:r w:rsidRPr="00F3008C">
              <w:rPr>
                <w:rFonts w:ascii="Times New Roman" w:eastAsia="Times New Roman" w:hAnsi="Times New Roman" w:cs="Times New Roman"/>
                <w:sz w:val="20"/>
                <w:szCs w:val="20"/>
                <w:lang w:val="ro-RO" w:eastAsia="ro-RO"/>
              </w:rPr>
              <w:t xml:space="preserve"> Protejarea drepturilor civile, politice, sociale și economice ale cetățenilor reîntorși.</w:t>
            </w:r>
            <w:hyperlink r:id="rId10" w:tgtFrame="_blank" w:history="1">
              <w:r w:rsidRPr="00F3008C">
                <w:rPr>
                  <w:rFonts w:ascii="Times New Roman" w:eastAsia="Times New Roman" w:hAnsi="Times New Roman" w:cs="Times New Roman"/>
                  <w:sz w:val="20"/>
                  <w:szCs w:val="20"/>
                  <w:u w:val="single"/>
                  <w:lang w:val="ro-RO" w:eastAsia="ro-RO"/>
                </w:rPr>
                <w:t>rtsa.ro</w:t>
              </w:r>
            </w:hyperlink>
            <w:r w:rsidRPr="00F3008C">
              <w:rPr>
                <w:rFonts w:ascii="Times New Roman" w:eastAsia="Times New Roman" w:hAnsi="Times New Roman" w:cs="Times New Roman"/>
                <w:sz w:val="20"/>
                <w:szCs w:val="20"/>
                <w:lang w:val="ro-RO" w:eastAsia="ro-RO"/>
              </w:rPr>
              <w:t xml:space="preserve">; </w:t>
            </w:r>
          </w:p>
          <w:p w14:paraId="4B40834F"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Păstrarea identității:</w:t>
            </w:r>
            <w:r w:rsidRPr="00F3008C">
              <w:rPr>
                <w:rFonts w:ascii="Times New Roman" w:eastAsia="Times New Roman" w:hAnsi="Times New Roman" w:cs="Times New Roman"/>
                <w:sz w:val="20"/>
                <w:szCs w:val="20"/>
                <w:lang w:val="ro-RO" w:eastAsia="ro-RO"/>
              </w:rPr>
              <w:t xml:space="preserve"> Promovarea și păstrarea identității etnice, culturale și religioase.</w:t>
            </w:r>
          </w:p>
        </w:tc>
      </w:tr>
      <w:tr w:rsidR="00F3008C" w:rsidRPr="00F3008C" w14:paraId="70677B93" w14:textId="77777777" w:rsidTr="00CC2492">
        <w:tc>
          <w:tcPr>
            <w:cnfStyle w:val="001000000000" w:firstRow="0" w:lastRow="0" w:firstColumn="1" w:lastColumn="0" w:oddVBand="0" w:evenVBand="0" w:oddHBand="0" w:evenHBand="0" w:firstRowFirstColumn="0" w:firstRowLastColumn="0" w:lastRowFirstColumn="0" w:lastRowLastColumn="0"/>
            <w:tcW w:w="625" w:type="dxa"/>
          </w:tcPr>
          <w:p w14:paraId="12F2EFA6" w14:textId="77777777" w:rsidR="00F3008C" w:rsidRPr="00F3008C" w:rsidRDefault="00F3008C" w:rsidP="00F3008C">
            <w:pPr>
              <w:spacing w:after="160"/>
              <w:jc w:val="both"/>
              <w:rPr>
                <w:rFonts w:ascii="Times New Roman" w:eastAsia="Times New Roman" w:hAnsi="Times New Roman" w:cs="Times New Roman"/>
                <w:b w:val="0"/>
                <w:bCs w:val="0"/>
                <w:sz w:val="20"/>
                <w:szCs w:val="20"/>
                <w:u w:val="single"/>
                <w:lang w:val="ro-RO" w:eastAsia="ro-RO"/>
              </w:rPr>
            </w:pPr>
          </w:p>
          <w:p w14:paraId="0CE07745" w14:textId="77777777" w:rsidR="00F3008C" w:rsidRPr="00F3008C" w:rsidRDefault="00F3008C" w:rsidP="00F3008C">
            <w:pPr>
              <w:spacing w:after="160"/>
              <w:jc w:val="center"/>
              <w:rPr>
                <w:rFonts w:ascii="Times New Roman" w:eastAsia="Times New Roman" w:hAnsi="Times New Roman" w:cs="Times New Roman"/>
                <w:b w:val="0"/>
                <w:bCs w:val="0"/>
                <w:sz w:val="20"/>
                <w:szCs w:val="20"/>
                <w:lang w:val="ro-RO" w:eastAsia="ro-RO"/>
              </w:rPr>
            </w:pPr>
            <w:r w:rsidRPr="00F3008C">
              <w:rPr>
                <w:rFonts w:ascii="Times New Roman" w:eastAsia="Times New Roman" w:hAnsi="Times New Roman" w:cs="Times New Roman"/>
                <w:sz w:val="20"/>
                <w:szCs w:val="20"/>
                <w:lang w:val="ro-RO" w:eastAsia="ro-RO"/>
              </w:rPr>
              <w:t>2.</w:t>
            </w:r>
          </w:p>
        </w:tc>
        <w:tc>
          <w:tcPr>
            <w:tcW w:w="2250" w:type="dxa"/>
          </w:tcPr>
          <w:p w14:paraId="1A4C3BE1"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u w:val="single"/>
                <w:lang w:val="ro-RO" w:eastAsia="ro-RO"/>
              </w:rPr>
              <w:t>Agenda 2030 pentru Dezvoltare Durabilă</w:t>
            </w:r>
            <w:r w:rsidRPr="00F3008C">
              <w:rPr>
                <w:rFonts w:ascii="Times New Roman" w:eastAsia="Times New Roman" w:hAnsi="Times New Roman" w:cs="Times New Roman"/>
                <w:sz w:val="20"/>
                <w:szCs w:val="20"/>
                <w:u w:val="single"/>
                <w:lang w:val="ro-RO" w:eastAsia="ro-RO"/>
              </w:rPr>
              <w:t xml:space="preserve"> în </w:t>
            </w:r>
            <w:r w:rsidRPr="00F3008C">
              <w:rPr>
                <w:rFonts w:ascii="Times New Roman" w:eastAsia="Times New Roman" w:hAnsi="Times New Roman" w:cs="Times New Roman"/>
                <w:b/>
                <w:bCs/>
                <w:sz w:val="20"/>
                <w:szCs w:val="20"/>
                <w:u w:val="single"/>
                <w:lang w:val="ro-RO" w:eastAsia="ro-RO"/>
              </w:rPr>
              <w:t>Republica Moldova</w:t>
            </w:r>
            <w:r w:rsidRPr="00F3008C">
              <w:rPr>
                <w:rFonts w:ascii="Times New Roman" w:eastAsia="Times New Roman" w:hAnsi="Times New Roman" w:cs="Times New Roman"/>
                <w:sz w:val="20"/>
                <w:szCs w:val="20"/>
                <w:u w:val="single"/>
                <w:vertAlign w:val="superscript"/>
                <w:lang w:val="ro-RO" w:eastAsia="ro-RO"/>
              </w:rPr>
              <w:footnoteReference w:id="9"/>
            </w:r>
            <w:r w:rsidRPr="00F3008C">
              <w:rPr>
                <w:rFonts w:ascii="Times New Roman" w:eastAsia="Times New Roman" w:hAnsi="Times New Roman" w:cs="Times New Roman"/>
                <w:sz w:val="20"/>
                <w:szCs w:val="20"/>
                <w:u w:val="single"/>
                <w:lang w:val="ro-RO" w:eastAsia="ro-RO"/>
              </w:rPr>
              <w:t>,</w:t>
            </w:r>
          </w:p>
        </w:tc>
        <w:tc>
          <w:tcPr>
            <w:tcW w:w="6469" w:type="dxa"/>
          </w:tcPr>
          <w:p w14:paraId="79A1E7D9"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 xml:space="preserve">Se bazează pe cele mai recente rapoarte oficiale: </w:t>
            </w:r>
            <w:r w:rsidRPr="00F3008C">
              <w:rPr>
                <w:rFonts w:ascii="Times New Roman" w:eastAsia="Times New Roman" w:hAnsi="Times New Roman" w:cs="Times New Roman"/>
                <w:b/>
                <w:bCs/>
                <w:sz w:val="20"/>
                <w:szCs w:val="20"/>
                <w:lang w:val="ro-RO" w:eastAsia="ro-RO"/>
              </w:rPr>
              <w:t>Raport Național de Progres (2023)</w:t>
            </w:r>
            <w:r w:rsidRPr="00F3008C">
              <w:rPr>
                <w:rFonts w:ascii="Times New Roman" w:eastAsia="Times New Roman" w:hAnsi="Times New Roman" w:cs="Times New Roman"/>
                <w:sz w:val="20"/>
                <w:szCs w:val="20"/>
                <w:vertAlign w:val="superscript"/>
                <w:lang w:val="ro-RO" w:eastAsia="ro-RO"/>
              </w:rPr>
              <w:footnoteReference w:id="10"/>
            </w:r>
            <w:r w:rsidRPr="00F3008C">
              <w:rPr>
                <w:rFonts w:ascii="Times New Roman" w:eastAsia="Times New Roman" w:hAnsi="Times New Roman" w:cs="Times New Roman"/>
                <w:sz w:val="20"/>
                <w:szCs w:val="20"/>
                <w:lang w:val="ro-RO" w:eastAsia="ro-RO"/>
              </w:rPr>
              <w:t xml:space="preserve">, elaborat cu sprijinul PNUD și UNFPA. </w:t>
            </w:r>
          </w:p>
          <w:p w14:paraId="53486A1D"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Scopul:</w:t>
            </w:r>
            <w:r w:rsidRPr="00F3008C">
              <w:rPr>
                <w:rFonts w:ascii="Times New Roman" w:eastAsia="Times New Roman" w:hAnsi="Times New Roman" w:cs="Times New Roman"/>
                <w:sz w:val="20"/>
                <w:szCs w:val="20"/>
                <w:lang w:val="ro-RO" w:eastAsia="ro-RO"/>
              </w:rPr>
              <w:t xml:space="preserve"> evaluarea realizărilor, identificarea decalajelor și orientarea deciziilor viitoare. </w:t>
            </w:r>
          </w:p>
          <w:p w14:paraId="1C1BC529"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Printre progresele înregistrate pentru anul 2022:</w:t>
            </w:r>
            <w:r w:rsidRPr="00F3008C">
              <w:rPr>
                <w:rFonts w:ascii="Times New Roman" w:eastAsia="Times New Roman" w:hAnsi="Times New Roman" w:cs="Times New Roman"/>
                <w:sz w:val="20"/>
                <w:szCs w:val="20"/>
                <w:lang w:val="ro-RO" w:eastAsia="ro-RO"/>
              </w:rPr>
              <w:t xml:space="preserve"> În sectorul economic: Peste 540 de întreprinderi mici și mijlocii au primit finanțări în valoare de 162,1 milioane lei. Au fost dezvoltate 40 de platforme industriale, 10 parcuri industriale și 7 zone economice libere</w:t>
            </w:r>
          </w:p>
        </w:tc>
      </w:tr>
      <w:tr w:rsidR="00F3008C" w:rsidRPr="00F3008C" w14:paraId="7937BF92" w14:textId="77777777" w:rsidTr="00CC2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4CFCB3C2"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p>
          <w:p w14:paraId="1588EEF9"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r w:rsidRPr="00F3008C">
              <w:rPr>
                <w:rFonts w:ascii="Times New Roman" w:eastAsia="Times New Roman" w:hAnsi="Times New Roman" w:cs="Times New Roman"/>
                <w:sz w:val="20"/>
                <w:szCs w:val="20"/>
                <w:lang w:val="ro-RO" w:eastAsia="ro-RO"/>
              </w:rPr>
              <w:t>3.</w:t>
            </w:r>
          </w:p>
        </w:tc>
        <w:tc>
          <w:tcPr>
            <w:tcW w:w="2250" w:type="dxa"/>
          </w:tcPr>
          <w:p w14:paraId="41448399"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u w:val="single"/>
                <w:lang w:val="ro-RO" w:eastAsia="ro-RO"/>
              </w:rPr>
              <w:t>Cadrul de Cooperare ONU-Moldova (2023–2027)</w:t>
            </w:r>
            <w:r w:rsidRPr="00F3008C">
              <w:rPr>
                <w:rFonts w:ascii="Times New Roman" w:eastAsia="Times New Roman" w:hAnsi="Times New Roman" w:cs="Times New Roman"/>
                <w:sz w:val="20"/>
                <w:szCs w:val="20"/>
                <w:u w:val="single"/>
                <w:vertAlign w:val="superscript"/>
                <w:lang w:val="ro-RO" w:eastAsia="ro-RO"/>
              </w:rPr>
              <w:footnoteReference w:id="11"/>
            </w:r>
          </w:p>
        </w:tc>
        <w:tc>
          <w:tcPr>
            <w:tcW w:w="6469" w:type="dxa"/>
          </w:tcPr>
          <w:p w14:paraId="7C7966CF"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 xml:space="preserve">Semnat în noiembrie 2022. Acest cadru de cooperare se concentrează pe patru priorități strategice: Instituții juste și acces egal la dezvoltare umană, Guvernanță participativă și coeziune socială, Prosperitate durabilă, Dezvoltare ecologică, comunități sustenabile și reziliență la schimbări climatice, Implementarea acestuia va contribui la realizarea ODD-urilor în sectoare precum educație, migrație, muncă decentă, energie și mediu, oferind peste 200 milioane de dolari finanțare nerambursabilă. </w:t>
            </w:r>
          </w:p>
          <w:p w14:paraId="586A186C"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Provocări Globale și Priorități:</w:t>
            </w:r>
            <w:r w:rsidRPr="00F3008C">
              <w:rPr>
                <w:rFonts w:ascii="Times New Roman" w:eastAsia="Times New Roman" w:hAnsi="Times New Roman" w:cs="Times New Roman"/>
                <w:sz w:val="20"/>
                <w:szCs w:val="20"/>
                <w:lang w:val="ro-RO" w:eastAsia="ro-RO"/>
              </w:rPr>
              <w:t xml:space="preserve"> Raportul </w:t>
            </w:r>
            <w:r w:rsidRPr="00F3008C">
              <w:rPr>
                <w:rFonts w:ascii="Times New Roman" w:eastAsia="Times New Roman" w:hAnsi="Times New Roman" w:cs="Times New Roman"/>
                <w:b/>
                <w:bCs/>
                <w:sz w:val="20"/>
                <w:szCs w:val="20"/>
                <w:lang w:val="ro-RO" w:eastAsia="ro-RO"/>
              </w:rPr>
              <w:t>Global Sustainable Development Goals Report 2025</w:t>
            </w:r>
            <w:r w:rsidRPr="00F3008C">
              <w:rPr>
                <w:rFonts w:ascii="Times New Roman" w:eastAsia="Times New Roman" w:hAnsi="Times New Roman" w:cs="Times New Roman"/>
                <w:sz w:val="20"/>
                <w:szCs w:val="20"/>
                <w:lang w:val="ro-RO" w:eastAsia="ro-RO"/>
              </w:rPr>
              <w:t xml:space="preserve"> atrage atenția că, deși au fost realizate progrese semnificative (acces la educație, sănătate maternală, energie regenerabilă), ritmul actual este insuficient pentru atingerea tuturor ODD-urilor până în 2030.</w:t>
            </w:r>
          </w:p>
        </w:tc>
      </w:tr>
      <w:tr w:rsidR="00F3008C" w:rsidRPr="00F3008C" w14:paraId="4EC384CC" w14:textId="77777777" w:rsidTr="00CC2492">
        <w:tc>
          <w:tcPr>
            <w:cnfStyle w:val="001000000000" w:firstRow="0" w:lastRow="0" w:firstColumn="1" w:lastColumn="0" w:oddVBand="0" w:evenVBand="0" w:oddHBand="0" w:evenHBand="0" w:firstRowFirstColumn="0" w:firstRowLastColumn="0" w:lastRowFirstColumn="0" w:lastRowLastColumn="0"/>
            <w:tcW w:w="625" w:type="dxa"/>
          </w:tcPr>
          <w:p w14:paraId="6ABD4A29"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p>
          <w:p w14:paraId="7AD2E620" w14:textId="77777777" w:rsidR="00F3008C" w:rsidRPr="00F3008C" w:rsidRDefault="00F3008C" w:rsidP="00F3008C">
            <w:pPr>
              <w:spacing w:after="160"/>
              <w:jc w:val="center"/>
              <w:rPr>
                <w:rFonts w:ascii="Times New Roman" w:eastAsia="Times New Roman" w:hAnsi="Times New Roman" w:cs="Times New Roman"/>
                <w:b w:val="0"/>
                <w:bCs w:val="0"/>
                <w:sz w:val="20"/>
                <w:szCs w:val="20"/>
                <w:lang w:val="ro-RO" w:eastAsia="ro-RO"/>
              </w:rPr>
            </w:pPr>
            <w:r w:rsidRPr="00F3008C">
              <w:rPr>
                <w:rFonts w:ascii="Times New Roman" w:eastAsia="Times New Roman" w:hAnsi="Times New Roman" w:cs="Times New Roman"/>
                <w:sz w:val="20"/>
                <w:szCs w:val="20"/>
                <w:lang w:val="ro-RO" w:eastAsia="ro-RO"/>
              </w:rPr>
              <w:t>4.</w:t>
            </w:r>
          </w:p>
        </w:tc>
        <w:tc>
          <w:tcPr>
            <w:tcW w:w="2250" w:type="dxa"/>
          </w:tcPr>
          <w:p w14:paraId="07D354A9"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Programul Național „Diaspora 2024–2028”</w:t>
            </w:r>
            <w:r w:rsidRPr="00F3008C">
              <w:rPr>
                <w:rFonts w:ascii="Times New Roman" w:eastAsia="Times New Roman" w:hAnsi="Times New Roman" w:cs="Times New Roman"/>
                <w:sz w:val="20"/>
                <w:szCs w:val="20"/>
                <w:vertAlign w:val="superscript"/>
                <w:lang w:val="ro-RO" w:eastAsia="ro-RO"/>
              </w:rPr>
              <w:footnoteReference w:id="12"/>
            </w:r>
            <w:r w:rsidRPr="00F3008C">
              <w:rPr>
                <w:rFonts w:ascii="Times New Roman" w:eastAsia="Times New Roman" w:hAnsi="Times New Roman" w:cs="Times New Roman"/>
                <w:sz w:val="20"/>
                <w:szCs w:val="20"/>
                <w:lang w:val="ro-RO" w:eastAsia="ro-RO"/>
              </w:rPr>
              <w:t xml:space="preserve"> (HG nr. 1032 din 21.12.2023),</w:t>
            </w:r>
          </w:p>
        </w:tc>
        <w:tc>
          <w:tcPr>
            <w:tcW w:w="6469" w:type="dxa"/>
          </w:tcPr>
          <w:p w14:paraId="516394C3"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sz w:val="20"/>
                <w:szCs w:val="20"/>
                <w:lang w:val="ro-RO" w:eastAsia="ro-RO"/>
              </w:rPr>
              <w:t xml:space="preserve">Abordează componenta reintegrării prin măsuri concrete de sprijin social și economic, unele prevederi: Mecanisme-cheie pentru reintegrare: Crearea unei unități de suport pentru revenire – în cadrul Biroului Relații cu Diaspora este instituit un serviciu dedicat persoanelor care revin în țară, menită să ofere consiliere personalizată și orientare în procesul de (re)integrare; Dezvoltarea unui mecanism de revenire și angajare – destinat absolvenților și studenților moldoveni din străinătate, facilitând tranziția acestora spre viața profesională </w:t>
            </w:r>
            <w:r w:rsidRPr="00F3008C">
              <w:rPr>
                <w:rFonts w:ascii="Times New Roman" w:eastAsia="Times New Roman" w:hAnsi="Times New Roman" w:cs="Times New Roman"/>
                <w:sz w:val="20"/>
                <w:szCs w:val="20"/>
                <w:lang w:val="ro-RO" w:eastAsia="ro-RO"/>
              </w:rPr>
              <w:lastRenderedPageBreak/>
              <w:t xml:space="preserve">din Moldova; Impulsionarea implicării diasporei în dezvoltarea țării – prin valorificarea expertizei și experienței acumulate, diaspora este încurajată să contribuie la creșterea competitivității și inovației sectoriale. </w:t>
            </w:r>
          </w:p>
          <w:p w14:paraId="744ECD9C"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Sprijin operațional și orientare:</w:t>
            </w:r>
            <w:r w:rsidRPr="00F3008C">
              <w:rPr>
                <w:rFonts w:ascii="Times New Roman" w:eastAsia="Times New Roman" w:hAnsi="Times New Roman" w:cs="Times New Roman"/>
                <w:sz w:val="20"/>
                <w:szCs w:val="20"/>
                <w:lang w:val="ro-RO" w:eastAsia="ro-RO"/>
              </w:rPr>
              <w:t xml:space="preserve"> Mecanismul național de asistență la revenire – aprobat în mai 2025, acesta oferă asistență pe trei niveluri: Informare și orientare inițială – despre proceduri administrative și servicii disponibile; Suport specializat – prin intermediul instituțiilor publice; Servicii suplimentare, acolo unde este necesar – consiliere juridică, psihologică, mentorat și cursuri de instruire. </w:t>
            </w:r>
          </w:p>
          <w:p w14:paraId="0E32D289"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Realizări concrete în 2024</w:t>
            </w:r>
            <w:r w:rsidRPr="00F3008C">
              <w:rPr>
                <w:rFonts w:ascii="Times New Roman" w:eastAsia="Times New Roman" w:hAnsi="Times New Roman" w:cs="Times New Roman"/>
                <w:b/>
                <w:bCs/>
                <w:sz w:val="20"/>
                <w:szCs w:val="20"/>
                <w:vertAlign w:val="superscript"/>
                <w:lang w:val="ro-RO" w:eastAsia="ro-RO"/>
              </w:rPr>
              <w:footnoteReference w:id="13"/>
            </w:r>
            <w:r w:rsidRPr="00F3008C">
              <w:rPr>
                <w:rFonts w:ascii="Times New Roman" w:eastAsia="Times New Roman" w:hAnsi="Times New Roman" w:cs="Times New Roman"/>
                <w:sz w:val="20"/>
                <w:szCs w:val="20"/>
                <w:lang w:val="ro-RO" w:eastAsia="ro-RO"/>
              </w:rPr>
              <w:t>: S-au lansat Ghidul de suport la revenire în Moldova, care include informații despre servicii sociale, medicale și educaționale, oportunități de angajare, formare profesională, consultanță pentru inițierea afacerilor și integrarea copiilor în instituțiile de învățământ.  Programul “Diaspora Acasă Reușește (DAR 1+3)”, au fost implementate 51 de proiecte locale cu implicarea diasporei</w:t>
            </w:r>
            <w:r w:rsidR="003D2D54">
              <w:rPr>
                <w:rFonts w:ascii="Times New Roman" w:eastAsia="Times New Roman" w:hAnsi="Times New Roman" w:cs="Times New Roman"/>
                <w:sz w:val="20"/>
                <w:szCs w:val="20"/>
                <w:lang w:val="ro-RO" w:eastAsia="ro-RO"/>
              </w:rPr>
              <w:t xml:space="preserve"> </w:t>
            </w:r>
            <w:r w:rsidRPr="00F3008C">
              <w:rPr>
                <w:rFonts w:ascii="Times New Roman" w:eastAsia="Times New Roman" w:hAnsi="Times New Roman" w:cs="Times New Roman"/>
                <w:sz w:val="20"/>
                <w:szCs w:val="20"/>
                <w:lang w:val="ro-RO" w:eastAsia="ro-RO"/>
              </w:rPr>
              <w:t>și s-au oferit oportunități de revenirii profesioniștilor și de reintegrare a absolvenților: 8 dosare aprobate pentru susținerea revenirii profesioniștilor cu experiență; 21 de absolvenți din diaspora au primit suport informațional; 16 au fost angajați deja, iar alte 4 urmează să fie sprijinite în 2025.</w:t>
            </w:r>
          </w:p>
        </w:tc>
      </w:tr>
      <w:tr w:rsidR="00F3008C" w:rsidRPr="00F3008C" w14:paraId="3BA502E4" w14:textId="77777777" w:rsidTr="00CC2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3DCA5456" w14:textId="77777777" w:rsidR="00F3008C" w:rsidRPr="00F3008C" w:rsidRDefault="00F3008C" w:rsidP="00F3008C">
            <w:pPr>
              <w:spacing w:after="160"/>
              <w:jc w:val="both"/>
              <w:rPr>
                <w:rFonts w:ascii="Times New Roman" w:eastAsia="Times New Roman" w:hAnsi="Times New Roman" w:cs="Times New Roman"/>
                <w:sz w:val="20"/>
                <w:szCs w:val="20"/>
                <w:lang w:val="ro-RO" w:eastAsia="ro-RO"/>
              </w:rPr>
            </w:pPr>
          </w:p>
          <w:p w14:paraId="161232FF" w14:textId="77777777" w:rsidR="00F3008C" w:rsidRPr="00F3008C" w:rsidRDefault="00F3008C" w:rsidP="00F3008C">
            <w:pPr>
              <w:spacing w:after="160"/>
              <w:jc w:val="center"/>
              <w:rPr>
                <w:rFonts w:ascii="Times New Roman" w:eastAsia="Times New Roman" w:hAnsi="Times New Roman" w:cs="Times New Roman"/>
                <w:b w:val="0"/>
                <w:bCs w:val="0"/>
                <w:sz w:val="20"/>
                <w:szCs w:val="20"/>
                <w:lang w:val="ro-RO" w:eastAsia="ro-RO"/>
              </w:rPr>
            </w:pPr>
            <w:r w:rsidRPr="00F3008C">
              <w:rPr>
                <w:rFonts w:ascii="Times New Roman" w:eastAsia="Times New Roman" w:hAnsi="Times New Roman" w:cs="Times New Roman"/>
                <w:sz w:val="20"/>
                <w:szCs w:val="20"/>
                <w:lang w:val="ro-RO" w:eastAsia="ro-RO"/>
              </w:rPr>
              <w:t>5.</w:t>
            </w:r>
          </w:p>
        </w:tc>
        <w:tc>
          <w:tcPr>
            <w:tcW w:w="2250" w:type="dxa"/>
          </w:tcPr>
          <w:p w14:paraId="533B2C9D"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ro-RO" w:eastAsia="ro-RO"/>
              </w:rPr>
            </w:pPr>
            <w:r w:rsidRPr="00F3008C">
              <w:rPr>
                <w:rFonts w:ascii="Times New Roman" w:eastAsia="Calibri" w:hAnsi="Times New Roman"/>
                <w:b/>
                <w:bCs/>
                <w:sz w:val="20"/>
                <w:szCs w:val="20"/>
                <w:u w:val="single"/>
                <w:lang w:val="ro-RO"/>
                <w14:ligatures w14:val="standardContextual"/>
              </w:rPr>
              <w:t>Legea nr. 105 din 14.06.2018</w:t>
            </w:r>
            <w:r w:rsidRPr="00F3008C">
              <w:rPr>
                <w:rFonts w:ascii="Times New Roman" w:eastAsia="Calibri" w:hAnsi="Times New Roman"/>
                <w:b/>
                <w:bCs/>
                <w:sz w:val="20"/>
                <w:szCs w:val="20"/>
                <w:lang w:val="ro-RO"/>
                <w14:ligatures w14:val="standardContextual"/>
              </w:rPr>
              <w:t xml:space="preserve"> „Cu privire la promovarea ocupării forței de muncă și asigurarea de șomaj”</w:t>
            </w:r>
            <w:r w:rsidRPr="00F3008C">
              <w:rPr>
                <w:rFonts w:ascii="Times New Roman" w:eastAsia="Calibri" w:hAnsi="Times New Roman"/>
                <w:sz w:val="20"/>
                <w:szCs w:val="20"/>
                <w:vertAlign w:val="superscript"/>
                <w:lang w:val="ro-RO"/>
                <w14:ligatures w14:val="standardContextual"/>
              </w:rPr>
              <w:footnoteReference w:id="14"/>
            </w:r>
          </w:p>
        </w:tc>
        <w:tc>
          <w:tcPr>
            <w:tcW w:w="6469" w:type="dxa"/>
          </w:tcPr>
          <w:p w14:paraId="202B63EB" w14:textId="77777777" w:rsidR="00F3008C" w:rsidRPr="00F3008C" w:rsidRDefault="00F3008C" w:rsidP="00F3008C">
            <w:pPr>
              <w:spacing w:after="1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Calibri" w:hAnsi="Times New Roman"/>
                <w:sz w:val="20"/>
                <w:szCs w:val="20"/>
                <w:lang w:val="ro-RO"/>
                <w14:ligatures w14:val="standardContextual"/>
              </w:rPr>
              <w:t>Include prevederi cu focus pe măsurile active de ocupare: servicii de ocupare oferite de Agenția Națională pentru Ocuparea Forței de Muncă (ANOFM) pentru toți cetățenii (inclusiv pot fi și cetățeni reîntorși): informare despre piața muncii; ghidare în carieră; medierea muncii; servicii de preconcediere; reabilitare profesională pentru persoanele cu dizabilități, formare profesională pentru șomeri prin: cursuri prin voucher; instruire la locul de muncă în cadrul unității; stagii profesionale; certificarea competențelor dobândite prin educație nonformală și informală.; subvenționarea locurilor de muncă, prin art. 36, angajatorii care recrutează șomeri din grupuri vulnerabile pot primi subvenții de până la 80% din salariul de bază, dar nu mai mult de 50% din salariul mediu pe economie, pentru o perioadă de 6 luni. Prin art. 38, pentru angajarea persoanelor cu dizabilități, angajatorii pot primi: 50% compensare pentru persoanele cu dizabilități medii; 75% compensare pentru dizabilități accentuate sau severe; cuantumul nu poate depăși echivalentul a 10 salarii medii lunare pe economie per loc de muncă; subvenții și pentru crearea/adaptarea locurilor de muncă în mediul rural: finanțare de până la 65% din costurile eligibile, maxim echivalentul a 20 salarii medii pe economie; destinate echipamentelor, utilajelor, etc., necesare demarării activității economice;  Instruire profesională și facilitarea angajării, ș.a. Hotărârea Guvernului nr. 1276/2018 a stabilit proceduri clare privind accesul la măsurile de ocupare</w:t>
            </w:r>
            <w:r w:rsidRPr="00F3008C">
              <w:rPr>
                <w:rFonts w:ascii="Times New Roman" w:eastAsia="Calibri" w:hAnsi="Times New Roman"/>
                <w:sz w:val="20"/>
                <w:szCs w:val="20"/>
                <w:vertAlign w:val="superscript"/>
                <w:lang w:val="ro-RO"/>
                <w14:ligatures w14:val="standardContextual"/>
              </w:rPr>
              <w:footnoteReference w:id="15"/>
            </w:r>
          </w:p>
        </w:tc>
      </w:tr>
      <w:tr w:rsidR="00F3008C" w:rsidRPr="00F3008C" w14:paraId="1EA91F1D" w14:textId="77777777" w:rsidTr="00CC2492">
        <w:tc>
          <w:tcPr>
            <w:cnfStyle w:val="001000000000" w:firstRow="0" w:lastRow="0" w:firstColumn="1" w:lastColumn="0" w:oddVBand="0" w:evenVBand="0" w:oddHBand="0" w:evenHBand="0" w:firstRowFirstColumn="0" w:firstRowLastColumn="0" w:lastRowFirstColumn="0" w:lastRowLastColumn="0"/>
            <w:tcW w:w="625" w:type="dxa"/>
          </w:tcPr>
          <w:p w14:paraId="446CBA79"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p>
          <w:p w14:paraId="1A3A7F0A" w14:textId="77777777" w:rsidR="00F3008C" w:rsidRPr="00F3008C" w:rsidRDefault="00F3008C" w:rsidP="00F3008C">
            <w:pPr>
              <w:spacing w:after="160"/>
              <w:jc w:val="both"/>
              <w:rPr>
                <w:rFonts w:ascii="Times New Roman" w:eastAsia="Times New Roman" w:hAnsi="Times New Roman" w:cs="Times New Roman"/>
                <w:b w:val="0"/>
                <w:bCs w:val="0"/>
                <w:sz w:val="20"/>
                <w:szCs w:val="20"/>
                <w:lang w:val="ro-RO" w:eastAsia="ro-RO"/>
              </w:rPr>
            </w:pPr>
            <w:r w:rsidRPr="00F3008C">
              <w:rPr>
                <w:rFonts w:ascii="Times New Roman" w:eastAsia="Times New Roman" w:hAnsi="Times New Roman" w:cs="Times New Roman"/>
                <w:sz w:val="20"/>
                <w:szCs w:val="20"/>
                <w:lang w:val="ro-RO" w:eastAsia="ro-RO"/>
              </w:rPr>
              <w:t>6.</w:t>
            </w:r>
          </w:p>
        </w:tc>
        <w:tc>
          <w:tcPr>
            <w:tcW w:w="2250" w:type="dxa"/>
          </w:tcPr>
          <w:p w14:paraId="51285642"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ro-RO" w:eastAsia="ro-RO"/>
              </w:rPr>
            </w:pPr>
            <w:r w:rsidRPr="00F3008C">
              <w:rPr>
                <w:rFonts w:ascii="Times New Roman" w:eastAsia="Times New Roman" w:hAnsi="Times New Roman" w:cs="Times New Roman"/>
                <w:b/>
                <w:bCs/>
                <w:sz w:val="20"/>
                <w:szCs w:val="20"/>
                <w:lang w:val="ro-RO" w:eastAsia="ro-RO"/>
              </w:rPr>
              <w:t xml:space="preserve">Programul de ocupare pentru anii 2022-2026, aprobat prin Hotărârea Guvernului  </w:t>
            </w:r>
            <w:r w:rsidRPr="00F3008C">
              <w:rPr>
                <w:rFonts w:ascii="Times New Roman" w:eastAsia="Calibri" w:hAnsi="Times New Roman" w:cs="Times New Roman"/>
                <w:sz w:val="20"/>
                <w:szCs w:val="20"/>
                <w:lang w:val="ro-RO" w:eastAsia="ru-RU"/>
                <w14:ligatures w14:val="standardContextual"/>
              </w:rPr>
              <w:t xml:space="preserve"> </w:t>
            </w:r>
            <w:r w:rsidRPr="00F3008C">
              <w:rPr>
                <w:rFonts w:ascii="Times New Roman" w:eastAsia="Calibri" w:hAnsi="Times New Roman" w:cs="Times New Roman"/>
                <w:b/>
                <w:bCs/>
                <w:sz w:val="20"/>
                <w:szCs w:val="20"/>
                <w:lang w:val="ro-RO" w:eastAsia="ru-RU"/>
                <w14:ligatures w14:val="standardContextual"/>
              </w:rPr>
              <w:t>nr.785/2022</w:t>
            </w:r>
          </w:p>
        </w:tc>
        <w:tc>
          <w:tcPr>
            <w:tcW w:w="6469" w:type="dxa"/>
          </w:tcPr>
          <w:p w14:paraId="13820197" w14:textId="77777777" w:rsidR="00F3008C" w:rsidRPr="00F3008C" w:rsidRDefault="00F3008C" w:rsidP="00F3008C">
            <w:pPr>
              <w:spacing w:after="160"/>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sz w:val="20"/>
                <w:szCs w:val="20"/>
                <w:lang w:val="ro-RO"/>
                <w14:ligatures w14:val="standardContextual"/>
              </w:rPr>
              <w:t xml:space="preserve">Document de politici publice în domeniul ocupării forței de muncă care urmărește </w:t>
            </w:r>
            <w:r w:rsidRPr="00F3008C">
              <w:rPr>
                <w:rFonts w:ascii="Times New Roman" w:eastAsia="Calibri" w:hAnsi="Times New Roman"/>
                <w:color w:val="000000"/>
                <w:sz w:val="20"/>
                <w:szCs w:val="20"/>
                <w:lang w:val="ro-RO"/>
                <w14:ligatures w14:val="standardContextual"/>
              </w:rPr>
              <w:t xml:space="preserve">creșterea nivelului de ocupare a forței de muncă și sporirea accesului pe piața muncii pentru toți. </w:t>
            </w:r>
            <w:r w:rsidRPr="00F3008C">
              <w:rPr>
                <w:rFonts w:ascii="Times New Roman" w:eastAsia="Calibri" w:hAnsi="Times New Roman"/>
                <w:sz w:val="20"/>
                <w:szCs w:val="20"/>
                <w:lang w:val="ro-RO"/>
                <w14:ligatures w14:val="standardContextual"/>
              </w:rPr>
              <w:t>Programul național derivă din Acordul de Asociere dintre Republica Moldova, pe de o parte, și Uniunea Europeană și Comunitatea Europeană a Energiei Atomice și statele membre ale acestora, pe de altă parte, din 27 iunie 2014, care conține un capitol aparte – capitolul 4 „O</w:t>
            </w:r>
            <w:r w:rsidRPr="00F3008C">
              <w:rPr>
                <w:rFonts w:ascii="Times New Roman" w:eastAsia="Calibri" w:hAnsi="Times New Roman"/>
                <w:bCs/>
                <w:iCs/>
                <w:color w:val="000000"/>
                <w:sz w:val="20"/>
                <w:szCs w:val="20"/>
                <w:lang w:val="ro-RO"/>
                <w14:ligatures w14:val="standardContextual"/>
              </w:rPr>
              <w:t xml:space="preserve">cuparea forței </w:t>
            </w:r>
            <w:r w:rsidRPr="00F3008C">
              <w:rPr>
                <w:rFonts w:ascii="Times New Roman" w:eastAsia="Calibri" w:hAnsi="Times New Roman"/>
                <w:bCs/>
                <w:iCs/>
                <w:color w:val="000000"/>
                <w:sz w:val="20"/>
                <w:szCs w:val="20"/>
                <w:lang w:val="ro-RO"/>
                <w14:ligatures w14:val="standardContextual"/>
              </w:rPr>
              <w:lastRenderedPageBreak/>
              <w:t xml:space="preserve">de muncă, politica socială și egalitatea de șanse”, din </w:t>
            </w:r>
            <w:r w:rsidRPr="00F3008C">
              <w:rPr>
                <w:rFonts w:ascii="Times New Roman" w:eastAsia="Calibri" w:hAnsi="Times New Roman"/>
                <w:sz w:val="20"/>
                <w:szCs w:val="20"/>
                <w:lang w:val="ro-RO"/>
                <w14:ligatures w14:val="standardContextual"/>
              </w:rPr>
              <w:t xml:space="preserve">Programul de activitate al Guvernului „Moldova Vremurilor Bune”, care conține capitolul „Protecția socială și muncă”, ce prevede promovarea ocupării forței de muncă și diminuarea discriminării pe piața muncii, și din Strategia națională de dezvoltare „Moldova Europeană 2030”. </w:t>
            </w:r>
          </w:p>
          <w:p w14:paraId="7D83A8A3" w14:textId="77777777" w:rsidR="00F3008C" w:rsidRPr="00F3008C" w:rsidRDefault="00F3008C" w:rsidP="00F3008C">
            <w:pPr>
              <w:spacing w:after="160"/>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sz w:val="20"/>
                <w:szCs w:val="20"/>
                <w:lang w:val="ro-RO"/>
                <w14:ligatures w14:val="standardContextual"/>
              </w:rPr>
              <w:t xml:space="preserve">Programul național este interconectat cu </w:t>
            </w:r>
            <w:r w:rsidRPr="00F3008C">
              <w:rPr>
                <w:rFonts w:ascii="Times New Roman" w:eastAsia="Calibri" w:hAnsi="Times New Roman"/>
                <w:bCs/>
                <w:iCs/>
                <w:sz w:val="20"/>
                <w:szCs w:val="20"/>
                <w:lang w:val="ro-RO"/>
                <w14:ligatures w14:val="standardContextual"/>
              </w:rPr>
              <w:t>proiectul</w:t>
            </w:r>
            <w:r w:rsidRPr="00F3008C">
              <w:rPr>
                <w:rFonts w:ascii="Times New Roman" w:eastAsia="Calibri" w:hAnsi="Times New Roman"/>
                <w:iCs/>
                <w:sz w:val="20"/>
                <w:szCs w:val="20"/>
                <w:lang w:val="ro-RO"/>
                <w14:ligatures w14:val="standardContextual"/>
              </w:rPr>
              <w:t xml:space="preserve"> </w:t>
            </w:r>
            <w:r w:rsidRPr="00F3008C">
              <w:rPr>
                <w:rFonts w:ascii="Times New Roman" w:eastAsia="Calibri" w:hAnsi="Times New Roman"/>
                <w:bCs/>
                <w:iCs/>
                <w:sz w:val="20"/>
                <w:szCs w:val="20"/>
                <w:lang w:val="ro-RO"/>
                <w14:ligatures w14:val="standardContextual"/>
              </w:rPr>
              <w:t>Programului privind gestionarea fluxului migrațional, azilului și integrării străinilor pentru anii 2022-2025 și cu</w:t>
            </w:r>
            <w:r w:rsidRPr="00F3008C">
              <w:rPr>
                <w:rFonts w:ascii="Times New Roman" w:eastAsia="Calibri" w:hAnsi="Times New Roman"/>
                <w:color w:val="000000"/>
                <w:sz w:val="20"/>
                <w:szCs w:val="20"/>
                <w:shd w:val="clear" w:color="auto" w:fill="FFFFFF"/>
                <w:lang w:val="ro-RO"/>
                <w14:ligatures w14:val="standardContextual"/>
              </w:rPr>
              <w:t xml:space="preserve"> </w:t>
            </w:r>
            <w:r w:rsidRPr="00F3008C">
              <w:rPr>
                <w:rFonts w:ascii="Times New Roman" w:eastAsia="Calibri" w:hAnsi="Times New Roman"/>
                <w:bCs/>
                <w:iCs/>
                <w:sz w:val="20"/>
                <w:szCs w:val="20"/>
                <w:lang w:val="ro-RO"/>
                <w14:ligatures w14:val="standardContextual"/>
              </w:rPr>
              <w:t xml:space="preserve">proiectul Programului național de stimulare a revenirilor și facilitare a (re)integrării cetățenilor Republicii Moldova implicați în procesul de migrație pentru anii 2022-2026. </w:t>
            </w:r>
            <w:r w:rsidRPr="00F3008C">
              <w:rPr>
                <w:rFonts w:ascii="Times New Roman" w:eastAsia="Calibri" w:hAnsi="Times New Roman"/>
                <w:sz w:val="20"/>
                <w:szCs w:val="20"/>
                <w:lang w:val="ro-RO"/>
                <w14:ligatures w14:val="standardContextual"/>
              </w:rPr>
              <w:t>Programul național este aliniat la Agenda de Dezvoltare Durabilă 2030, contribuind la atingerea următoarelor Obiective de Dezvoltare Durabilă (ODD).</w:t>
            </w:r>
          </w:p>
          <w:p w14:paraId="3EE96A8E" w14:textId="77777777" w:rsidR="00F3008C" w:rsidRPr="00F3008C" w:rsidRDefault="00F3008C" w:rsidP="00F3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bCs/>
                <w:sz w:val="20"/>
                <w:szCs w:val="20"/>
                <w:lang w:val="ro-RO"/>
                <w14:ligatures w14:val="standardContextual"/>
              </w:rPr>
              <w:t>- ODD 8: muncă decentă și creștere economică</w:t>
            </w:r>
            <w:r w:rsidRPr="00F3008C">
              <w:rPr>
                <w:rFonts w:ascii="Times New Roman" w:eastAsia="Calibri" w:hAnsi="Times New Roman"/>
                <w:sz w:val="20"/>
                <w:szCs w:val="20"/>
                <w:lang w:val="ro-RO"/>
                <w14:ligatures w14:val="standardContextual"/>
              </w:rPr>
              <w:t>, ținte: (8.3) promovarea, până în 2030, a unor politici orientate spre dezvoltare, care susțin activitățile productive, crearea locurilor de muncă decente, antreprenoriatul, creativitatea și inovația și care încurajează formalizarea și creșterea întreprinderilor micro, mici și mijlocii, inclusiv prin acces la servicii financiare; (8.6) atingerea, până în 2030, a unui nivel al ocupării similar cu media țărilor din Europa Centrală și de Est și stimularea ocupării productive și a muncii decente pentru toate femeile și bărbații, inclusiv pentru tineri și persoanele cu dizabilități, precum și remunerarea egală pentru munca de valoare egală (ținta 8.5); reducerea proporției tinerilor fără un loc de muncă, fără educație sau formare până la un nivel similar cu media din țările Europei Centrale și de Est; (8.8) protecția drepturilor la muncă și promovarea mediilor de lucru sigure și securizate pentru toți angajații;</w:t>
            </w:r>
          </w:p>
          <w:p w14:paraId="1BA98E73" w14:textId="77777777" w:rsidR="00F3008C" w:rsidRPr="00F3008C" w:rsidRDefault="00F3008C" w:rsidP="00F3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bCs/>
                <w:sz w:val="20"/>
                <w:szCs w:val="20"/>
                <w:lang w:val="ro-RO"/>
                <w14:ligatures w14:val="standardContextual"/>
              </w:rPr>
              <w:t>- ODD 10: reducerea inegalității în interiorul statelor și între state,</w:t>
            </w:r>
            <w:r w:rsidRPr="00F3008C">
              <w:rPr>
                <w:rFonts w:ascii="Times New Roman" w:eastAsia="Calibri" w:hAnsi="Times New Roman"/>
                <w:iCs/>
                <w:sz w:val="20"/>
                <w:szCs w:val="20"/>
                <w:lang w:val="ro-RO"/>
                <w14:ligatures w14:val="standardContextual"/>
              </w:rPr>
              <w:t xml:space="preserve"> ținte: (10.4) </w:t>
            </w:r>
            <w:r w:rsidRPr="00F3008C">
              <w:rPr>
                <w:rFonts w:ascii="Times New Roman" w:eastAsia="Calibri" w:hAnsi="Times New Roman"/>
                <w:sz w:val="20"/>
                <w:szCs w:val="20"/>
                <w:lang w:val="ro-RO"/>
                <w14:ligatures w14:val="standardContextual"/>
              </w:rPr>
              <w:t>adoptarea politicilor, în special fiscale, salariale și de protecție socială, și realizarea progresivă a unei egalități sporite; (10.7) asigurarea unui proces de angajare legal, echitabil, bine informat al migranților;</w:t>
            </w:r>
          </w:p>
          <w:p w14:paraId="52CA827B" w14:textId="77777777" w:rsidR="00F3008C" w:rsidRPr="00F3008C" w:rsidRDefault="00F3008C" w:rsidP="00F3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bCs/>
                <w:sz w:val="20"/>
                <w:szCs w:val="20"/>
                <w:lang w:val="ro-RO"/>
                <w14:ligatures w14:val="standardContextual"/>
              </w:rPr>
              <w:t>- ODD 5: realizarea egalității de gen și abilitarea tuturor femeilor și fetelor,</w:t>
            </w:r>
            <w:r w:rsidRPr="00F3008C">
              <w:rPr>
                <w:rFonts w:ascii="Times New Roman" w:eastAsia="Calibri" w:hAnsi="Times New Roman"/>
                <w:b/>
                <w:iCs/>
                <w:sz w:val="20"/>
                <w:szCs w:val="20"/>
                <w:lang w:val="ro-RO"/>
                <w14:ligatures w14:val="standardContextual"/>
              </w:rPr>
              <w:t xml:space="preserve"> </w:t>
            </w:r>
            <w:r w:rsidRPr="00F3008C">
              <w:rPr>
                <w:rFonts w:ascii="Times New Roman" w:eastAsia="Calibri" w:hAnsi="Times New Roman"/>
                <w:iCs/>
                <w:sz w:val="20"/>
                <w:szCs w:val="20"/>
                <w:lang w:val="ro-RO"/>
                <w14:ligatures w14:val="standardContextual"/>
              </w:rPr>
              <w:t>țintă:</w:t>
            </w:r>
            <w:r w:rsidRPr="00F3008C">
              <w:rPr>
                <w:rFonts w:ascii="Times New Roman" w:eastAsia="Calibri" w:hAnsi="Times New Roman"/>
                <w:sz w:val="20"/>
                <w:szCs w:val="20"/>
                <w:lang w:val="ro-RO"/>
                <w14:ligatures w14:val="standardContextual"/>
              </w:rPr>
              <w:t xml:space="preserve"> (5.4) recunoașterea și aprecierea îngrijirii și lucrului casnic neplătit prin furnizarea de servicii publice, infrastructurii și politicilor de protecție socială</w:t>
            </w:r>
            <w:r w:rsidRPr="00F3008C">
              <w:rPr>
                <w:rFonts w:ascii="Times New Roman" w:eastAsia="Calibri" w:hAnsi="Times New Roman"/>
                <w:color w:val="666666"/>
                <w:sz w:val="20"/>
                <w:szCs w:val="20"/>
                <w:shd w:val="clear" w:color="auto" w:fill="FFFFFF"/>
                <w:lang w:val="ro-RO"/>
                <w14:ligatures w14:val="standardContextual"/>
              </w:rPr>
              <w:t xml:space="preserve"> </w:t>
            </w:r>
            <w:r w:rsidRPr="00F3008C">
              <w:rPr>
                <w:rFonts w:ascii="Times New Roman" w:eastAsia="Calibri" w:hAnsi="Times New Roman"/>
                <w:sz w:val="20"/>
                <w:szCs w:val="20"/>
                <w:shd w:val="clear" w:color="auto" w:fill="FFFFFF"/>
                <w:lang w:val="ro-RO"/>
                <w14:ligatures w14:val="standardContextual"/>
              </w:rPr>
              <w:t>și promovarea responsabilității partajate în gospodărie și familie;</w:t>
            </w:r>
          </w:p>
          <w:p w14:paraId="3DFC8512" w14:textId="77777777" w:rsidR="00F3008C" w:rsidRPr="00F3008C" w:rsidRDefault="00F3008C" w:rsidP="00F3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o-RO"/>
                <w14:ligatures w14:val="standardContextual"/>
              </w:rPr>
            </w:pPr>
            <w:r w:rsidRPr="00F3008C">
              <w:rPr>
                <w:rFonts w:ascii="Times New Roman" w:eastAsia="Calibri" w:hAnsi="Times New Roman"/>
                <w:bCs/>
                <w:sz w:val="20"/>
                <w:szCs w:val="20"/>
                <w:lang w:val="ro-RO"/>
                <w14:ligatures w14:val="standardContextual"/>
              </w:rPr>
              <w:t>- ODD 1: eliminarea sărăciei în toate formele sale pe tot globul, țintă: (1.3)</w:t>
            </w:r>
            <w:r w:rsidRPr="00F3008C">
              <w:rPr>
                <w:rFonts w:ascii="Times New Roman" w:eastAsia="Calibri" w:hAnsi="Times New Roman"/>
                <w:b/>
                <w:i/>
                <w:iCs/>
                <w:sz w:val="20"/>
                <w:szCs w:val="20"/>
                <w:lang w:val="ro-RO"/>
                <w14:ligatures w14:val="standardContextual"/>
              </w:rPr>
              <w:t xml:space="preserve"> </w:t>
            </w:r>
            <w:r w:rsidRPr="00F3008C">
              <w:rPr>
                <w:rFonts w:ascii="Times New Roman" w:eastAsia="Calibri" w:hAnsi="Times New Roman"/>
                <w:color w:val="666666"/>
                <w:sz w:val="20"/>
                <w:szCs w:val="20"/>
                <w:shd w:val="clear" w:color="auto" w:fill="FFFFFF"/>
                <w:lang w:val="ro-RO"/>
                <w14:ligatures w14:val="standardContextual"/>
              </w:rPr>
              <w:t xml:space="preserve"> </w:t>
            </w:r>
            <w:r w:rsidRPr="00F3008C">
              <w:rPr>
                <w:rFonts w:ascii="Times New Roman" w:eastAsia="Calibri" w:hAnsi="Times New Roman"/>
                <w:sz w:val="20"/>
                <w:szCs w:val="20"/>
                <w:shd w:val="clear" w:color="auto" w:fill="FFFFFF"/>
                <w:lang w:val="ro-RO"/>
                <w14:ligatures w14:val="standardContextual"/>
              </w:rPr>
              <w:t>implementarea unor sisteme de protecție socială adecvate la nivel național și a măsurilor necesare, inclusiv implementarea venitului minim garantat, pentru o acoperire substanțială a celor săraci și vulnerabili până în 2030.</w:t>
            </w:r>
          </w:p>
          <w:p w14:paraId="1B89DBF5"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20"/>
                <w:szCs w:val="20"/>
                <w:lang w:val="ro-RO"/>
                <w14:ligatures w14:val="standardContextual"/>
              </w:rPr>
            </w:pPr>
            <w:r w:rsidRPr="00F3008C">
              <w:rPr>
                <w:rFonts w:ascii="Times New Roman" w:eastAsia="Calibri" w:hAnsi="Times New Roman"/>
                <w:color w:val="000000"/>
                <w:sz w:val="20"/>
                <w:szCs w:val="20"/>
                <w:lang w:val="ro-RO"/>
                <w14:ligatures w14:val="standardContextual"/>
              </w:rPr>
              <w:t>Programul național reprezintă o următoare etapă de planificare a acțiunilor pe termen mediu în domeniul îmbunătățirii funcționării pieței muncii, consolidării politicii de măsuri active pe piața muncii, capacităților instituționale ale instituțiilor de bază pe piața muncii.</w:t>
            </w:r>
          </w:p>
          <w:p w14:paraId="12C8065F" w14:textId="77777777" w:rsidR="00F3008C" w:rsidRPr="00F3008C" w:rsidRDefault="00F3008C" w:rsidP="00F3008C">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o-RO" w:eastAsia="ro-RO"/>
              </w:rPr>
            </w:pPr>
            <w:r w:rsidRPr="00F3008C">
              <w:rPr>
                <w:rFonts w:ascii="Times New Roman" w:eastAsia="Times New Roman" w:hAnsi="Times New Roman" w:cs="Times New Roman"/>
                <w:b/>
                <w:bCs/>
                <w:sz w:val="20"/>
                <w:szCs w:val="20"/>
                <w:lang w:val="ro-RO" w:eastAsia="ro-RO"/>
              </w:rPr>
              <w:t xml:space="preserve">Exemple de măsuri active de ocupare din program:  stagii și instruiri la locul de muncă: </w:t>
            </w:r>
            <w:r w:rsidRPr="00F3008C">
              <w:rPr>
                <w:rFonts w:ascii="Times New Roman" w:eastAsia="Times New Roman" w:hAnsi="Times New Roman" w:cs="Times New Roman"/>
                <w:sz w:val="20"/>
                <w:szCs w:val="20"/>
                <w:lang w:val="ro-RO" w:eastAsia="ro-RO"/>
              </w:rPr>
              <w:t>Persoanele fără experiență sau calificare pot accesa stagii profesionale cu susținere pentru angajare ulterioară.; s</w:t>
            </w:r>
            <w:r w:rsidRPr="00F3008C">
              <w:rPr>
                <w:rFonts w:ascii="Times New Roman" w:eastAsia="Times New Roman" w:hAnsi="Times New Roman" w:cs="Times New Roman"/>
                <w:b/>
                <w:bCs/>
                <w:sz w:val="20"/>
                <w:szCs w:val="20"/>
                <w:lang w:val="ro-RO" w:eastAsia="ro-RO"/>
              </w:rPr>
              <w:t xml:space="preserve">ubvenții pentru angajatori: </w:t>
            </w:r>
            <w:r w:rsidRPr="00F3008C">
              <w:rPr>
                <w:rFonts w:ascii="Times New Roman" w:eastAsia="Times New Roman" w:hAnsi="Times New Roman" w:cs="Times New Roman"/>
                <w:sz w:val="20"/>
                <w:szCs w:val="20"/>
                <w:lang w:val="ro-RO" w:eastAsia="ro-RO"/>
              </w:rPr>
              <w:t xml:space="preserve">Angajatorii care încadrează șomeri sau persoane vulnerabile pot primi subvenții la salariu pentru a stimula crearea de locuri de muncă; </w:t>
            </w:r>
            <w:r w:rsidRPr="00F3008C">
              <w:rPr>
                <w:rFonts w:ascii="Times New Roman" w:eastAsia="Times New Roman" w:hAnsi="Times New Roman" w:cs="Times New Roman"/>
                <w:b/>
                <w:bCs/>
                <w:sz w:val="20"/>
                <w:szCs w:val="20"/>
                <w:lang w:val="ro-RO" w:eastAsia="ro-RO"/>
              </w:rPr>
              <w:t xml:space="preserve">Voucher pentru formare profesională: </w:t>
            </w:r>
            <w:r w:rsidRPr="00F3008C">
              <w:rPr>
                <w:rFonts w:ascii="Times New Roman" w:eastAsia="Times New Roman" w:hAnsi="Times New Roman" w:cs="Times New Roman"/>
                <w:sz w:val="20"/>
                <w:szCs w:val="20"/>
                <w:lang w:val="ro-RO" w:eastAsia="ro-RO"/>
              </w:rPr>
              <w:t>Șomerii pot primi un voucher pentru cursuri de recalificare sau perfecționare, plătite prin ANOFM, pentru a-și mări șansele de angajare; p</w:t>
            </w:r>
            <w:r w:rsidRPr="00F3008C">
              <w:rPr>
                <w:rFonts w:ascii="Times New Roman" w:eastAsia="Times New Roman" w:hAnsi="Times New Roman" w:cs="Times New Roman"/>
                <w:b/>
                <w:bCs/>
                <w:sz w:val="20"/>
                <w:szCs w:val="20"/>
                <w:lang w:val="ro-RO" w:eastAsia="ro-RO"/>
              </w:rPr>
              <w:t xml:space="preserve">rograme de sprijin pentru antreprenori: </w:t>
            </w:r>
            <w:r w:rsidRPr="00F3008C">
              <w:rPr>
                <w:rFonts w:ascii="Times New Roman" w:eastAsia="Times New Roman" w:hAnsi="Times New Roman" w:cs="Times New Roman"/>
                <w:sz w:val="20"/>
                <w:szCs w:val="20"/>
                <w:lang w:val="ro-RO" w:eastAsia="ro-RO"/>
              </w:rPr>
              <w:t xml:space="preserve">Există programe prin </w:t>
            </w:r>
            <w:r w:rsidRPr="00F3008C">
              <w:rPr>
                <w:rFonts w:ascii="Times New Roman" w:eastAsia="Times New Roman" w:hAnsi="Times New Roman" w:cs="Times New Roman"/>
                <w:sz w:val="20"/>
                <w:szCs w:val="20"/>
                <w:lang w:val="ro-RO" w:eastAsia="ro-RO"/>
              </w:rPr>
              <w:lastRenderedPageBreak/>
              <w:t>care persoanele șomere pot primi ajutor financiar sau consultanță pentru a începe o afacere.</w:t>
            </w:r>
          </w:p>
        </w:tc>
      </w:tr>
    </w:tbl>
    <w:p w14:paraId="1C4BF3BC" w14:textId="77777777" w:rsidR="006015E6" w:rsidRDefault="006015E6">
      <w:pPr>
        <w:spacing w:before="240" w:after="240"/>
        <w:jc w:val="both"/>
        <w:rPr>
          <w:rFonts w:ascii="Times New Roman" w:eastAsia="Times New Roman" w:hAnsi="Times New Roman" w:cs="Times New Roman"/>
          <w:b/>
          <w:bCs/>
          <w:sz w:val="24"/>
          <w:szCs w:val="24"/>
        </w:rPr>
      </w:pPr>
    </w:p>
    <w:p w14:paraId="209C51D0" w14:textId="77777777" w:rsidR="006015E6" w:rsidRDefault="006015E6">
      <w:pPr>
        <w:spacing w:before="240" w:after="240"/>
        <w:jc w:val="both"/>
        <w:rPr>
          <w:rFonts w:ascii="Times New Roman" w:eastAsia="Times New Roman" w:hAnsi="Times New Roman" w:cs="Times New Roman"/>
          <w:b/>
          <w:bCs/>
          <w:sz w:val="24"/>
          <w:szCs w:val="24"/>
        </w:rPr>
      </w:pPr>
    </w:p>
    <w:p w14:paraId="73BE5DC4" w14:textId="77777777" w:rsidR="00CA253F" w:rsidRPr="009E20C7" w:rsidRDefault="009E20C7">
      <w:pPr>
        <w:spacing w:before="240" w:after="240"/>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4.1. </w:t>
      </w:r>
      <w:r w:rsidR="008130E6" w:rsidRPr="009E20C7">
        <w:rPr>
          <w:rFonts w:ascii="Times New Roman" w:eastAsia="Times New Roman" w:hAnsi="Times New Roman" w:cs="Times New Roman"/>
          <w:b/>
          <w:bCs/>
          <w:iCs/>
          <w:sz w:val="24"/>
          <w:szCs w:val="24"/>
        </w:rPr>
        <w:t>Programe de menținere a relațiilor cu membrii Diasporei</w:t>
      </w:r>
    </w:p>
    <w:tbl>
      <w:tblPr>
        <w:tblStyle w:val="ListTable2-Accent5"/>
        <w:tblW w:w="8940" w:type="dxa"/>
        <w:tblLayout w:type="fixed"/>
        <w:tblLook w:val="0600" w:firstRow="0" w:lastRow="0" w:firstColumn="0" w:lastColumn="0" w:noHBand="1" w:noVBand="1"/>
      </w:tblPr>
      <w:tblGrid>
        <w:gridCol w:w="1215"/>
        <w:gridCol w:w="1350"/>
        <w:gridCol w:w="1113"/>
        <w:gridCol w:w="1107"/>
        <w:gridCol w:w="1155"/>
        <w:gridCol w:w="1755"/>
        <w:gridCol w:w="1245"/>
      </w:tblGrid>
      <w:tr w:rsidR="00CA253F" w:rsidRPr="00317EA4" w14:paraId="0D1E22CF" w14:textId="77777777" w:rsidTr="00CC2492">
        <w:trPr>
          <w:trHeight w:val="495"/>
        </w:trPr>
        <w:tc>
          <w:tcPr>
            <w:tcW w:w="1215" w:type="dxa"/>
          </w:tcPr>
          <w:p w14:paraId="6920287A"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Inițiativă</w:t>
            </w:r>
          </w:p>
        </w:tc>
        <w:tc>
          <w:tcPr>
            <w:tcW w:w="1350" w:type="dxa"/>
          </w:tcPr>
          <w:p w14:paraId="11BDCF54"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Instituție Responsabilă</w:t>
            </w:r>
          </w:p>
        </w:tc>
        <w:tc>
          <w:tcPr>
            <w:tcW w:w="1113" w:type="dxa"/>
          </w:tcPr>
          <w:p w14:paraId="39C7786C"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Perioadă</w:t>
            </w:r>
          </w:p>
        </w:tc>
        <w:tc>
          <w:tcPr>
            <w:tcW w:w="1107" w:type="dxa"/>
          </w:tcPr>
          <w:p w14:paraId="346395D6"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Scop</w:t>
            </w:r>
          </w:p>
        </w:tc>
        <w:tc>
          <w:tcPr>
            <w:tcW w:w="1155" w:type="dxa"/>
          </w:tcPr>
          <w:p w14:paraId="6B77FAF9"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Grup Țintă</w:t>
            </w:r>
          </w:p>
        </w:tc>
        <w:tc>
          <w:tcPr>
            <w:tcW w:w="1755" w:type="dxa"/>
          </w:tcPr>
          <w:p w14:paraId="74E40030"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Mecanism</w:t>
            </w:r>
          </w:p>
        </w:tc>
        <w:tc>
          <w:tcPr>
            <w:tcW w:w="1245" w:type="dxa"/>
          </w:tcPr>
          <w:p w14:paraId="69E83AA1" w14:textId="77777777" w:rsidR="00CA253F" w:rsidRPr="00CC2492" w:rsidRDefault="008130E6">
            <w:pPr>
              <w:spacing w:before="240" w:after="240"/>
              <w:jc w:val="center"/>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Rezultate Așteptate</w:t>
            </w:r>
          </w:p>
        </w:tc>
      </w:tr>
      <w:tr w:rsidR="00CA253F" w:rsidRPr="00317EA4" w14:paraId="0A68B09B" w14:textId="77777777" w:rsidTr="00CC2492">
        <w:trPr>
          <w:trHeight w:val="1935"/>
        </w:trPr>
        <w:tc>
          <w:tcPr>
            <w:tcW w:w="1215" w:type="dxa"/>
          </w:tcPr>
          <w:p w14:paraId="582A1D63"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Programul Național „Diaspora”</w:t>
            </w:r>
          </w:p>
        </w:tc>
        <w:tc>
          <w:tcPr>
            <w:tcW w:w="1350" w:type="dxa"/>
          </w:tcPr>
          <w:p w14:paraId="62B65606"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 Guvernul RM</w:t>
            </w:r>
          </w:p>
        </w:tc>
        <w:tc>
          <w:tcPr>
            <w:tcW w:w="1113" w:type="dxa"/>
          </w:tcPr>
          <w:p w14:paraId="080F161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2024-2028</w:t>
            </w:r>
          </w:p>
        </w:tc>
        <w:tc>
          <w:tcPr>
            <w:tcW w:w="1107" w:type="dxa"/>
          </w:tcPr>
          <w:p w14:paraId="45CE8DFA"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Consolidarea legăturilor stat-diaspora și maximizarea capitalului uman</w:t>
            </w:r>
          </w:p>
        </w:tc>
        <w:tc>
          <w:tcPr>
            <w:tcW w:w="1155" w:type="dxa"/>
          </w:tcPr>
          <w:p w14:paraId="202976B4"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Cetățeni moldoveni în străinătate</w:t>
            </w:r>
          </w:p>
        </w:tc>
        <w:tc>
          <w:tcPr>
            <w:tcW w:w="1755" w:type="dxa"/>
          </w:tcPr>
          <w:p w14:paraId="71BBAAC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Creare grup suport returnare, stimulare participare în domenii cheie, mecanism angajare absolvenți străini</w:t>
            </w:r>
          </w:p>
        </w:tc>
        <w:tc>
          <w:tcPr>
            <w:tcW w:w="1245" w:type="dxa"/>
          </w:tcPr>
          <w:p w14:paraId="4793C13A"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Îmbunătățire conexiuni, transfer expertiză</w:t>
            </w:r>
          </w:p>
        </w:tc>
      </w:tr>
      <w:tr w:rsidR="00CA253F" w:rsidRPr="00317EA4" w14:paraId="3108596A" w14:textId="77777777" w:rsidTr="00CC2492">
        <w:trPr>
          <w:trHeight w:val="1215"/>
        </w:trPr>
        <w:tc>
          <w:tcPr>
            <w:tcW w:w="1215" w:type="dxa"/>
          </w:tcPr>
          <w:p w14:paraId="6D4BD850"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Programul de Susținere Inițiative Diaspora</w:t>
            </w:r>
          </w:p>
        </w:tc>
        <w:tc>
          <w:tcPr>
            <w:tcW w:w="1350" w:type="dxa"/>
          </w:tcPr>
          <w:p w14:paraId="11B6632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w:t>
            </w:r>
          </w:p>
        </w:tc>
        <w:tc>
          <w:tcPr>
            <w:tcW w:w="1113" w:type="dxa"/>
          </w:tcPr>
          <w:p w14:paraId="1D05E2C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Anual (ex. 2025)</w:t>
            </w:r>
          </w:p>
        </w:tc>
        <w:tc>
          <w:tcPr>
            <w:tcW w:w="1107" w:type="dxa"/>
          </w:tcPr>
          <w:p w14:paraId="05D89999"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Implicare activă diaspora în educație, cultură, civic</w:t>
            </w:r>
          </w:p>
        </w:tc>
        <w:tc>
          <w:tcPr>
            <w:tcW w:w="1155" w:type="dxa"/>
          </w:tcPr>
          <w:p w14:paraId="61893EBF"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Asociații diaspora</w:t>
            </w:r>
          </w:p>
        </w:tc>
        <w:tc>
          <w:tcPr>
            <w:tcW w:w="1755" w:type="dxa"/>
          </w:tcPr>
          <w:p w14:paraId="6939201E"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Granturi nerambursabile până la 150.000 lei pentru proiecte culturale/educative</w:t>
            </w:r>
          </w:p>
        </w:tc>
        <w:tc>
          <w:tcPr>
            <w:tcW w:w="1245" w:type="dxa"/>
          </w:tcPr>
          <w:p w14:paraId="4F920CF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Păstrare identitate națională, rețele colaborare</w:t>
            </w:r>
          </w:p>
        </w:tc>
      </w:tr>
      <w:tr w:rsidR="00CA253F" w:rsidRPr="00317EA4" w14:paraId="58C5A952" w14:textId="77777777" w:rsidTr="00CC2492">
        <w:trPr>
          <w:trHeight w:val="1215"/>
        </w:trPr>
        <w:tc>
          <w:tcPr>
            <w:tcW w:w="1215" w:type="dxa"/>
          </w:tcPr>
          <w:p w14:paraId="285B10C0"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Diaspora Origin Return (DOR)</w:t>
            </w:r>
          </w:p>
        </w:tc>
        <w:tc>
          <w:tcPr>
            <w:tcW w:w="1350" w:type="dxa"/>
          </w:tcPr>
          <w:p w14:paraId="489E560A"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w:t>
            </w:r>
          </w:p>
        </w:tc>
        <w:tc>
          <w:tcPr>
            <w:tcW w:w="1113" w:type="dxa"/>
          </w:tcPr>
          <w:p w14:paraId="7D5791A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Din 2013, anual</w:t>
            </w:r>
          </w:p>
        </w:tc>
        <w:tc>
          <w:tcPr>
            <w:tcW w:w="1107" w:type="dxa"/>
          </w:tcPr>
          <w:p w14:paraId="237A98B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Consolidare identitate culturală generația a II-a</w:t>
            </w:r>
          </w:p>
        </w:tc>
        <w:tc>
          <w:tcPr>
            <w:tcW w:w="1155" w:type="dxa"/>
          </w:tcPr>
          <w:p w14:paraId="31418C6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Copii/tineri diaspora</w:t>
            </w:r>
          </w:p>
        </w:tc>
        <w:tc>
          <w:tcPr>
            <w:tcW w:w="1755" w:type="dxa"/>
          </w:tcPr>
          <w:p w14:paraId="3AB44926"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Tabere copii și tineri (E-way to home)</w:t>
            </w:r>
          </w:p>
        </w:tc>
        <w:tc>
          <w:tcPr>
            <w:tcW w:w="1245" w:type="dxa"/>
          </w:tcPr>
          <w:p w14:paraId="316708B4"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Legături emoționale puternice cu Moldova</w:t>
            </w:r>
          </w:p>
        </w:tc>
      </w:tr>
    </w:tbl>
    <w:p w14:paraId="31FD9704" w14:textId="77777777" w:rsidR="003D2D54" w:rsidRPr="003D2D54" w:rsidRDefault="008130E6" w:rsidP="003D2D54">
      <w:pPr>
        <w:pStyle w:val="NormalWeb"/>
        <w:spacing w:after="0" w:afterAutospacing="0"/>
        <w:jc w:val="both"/>
        <w:rPr>
          <w:bCs/>
          <w:sz w:val="20"/>
          <w:szCs w:val="20"/>
        </w:rPr>
      </w:pPr>
      <w:r w:rsidRPr="003D2D54">
        <w:rPr>
          <w:bCs/>
          <w:sz w:val="20"/>
          <w:szCs w:val="20"/>
        </w:rPr>
        <w:t>Surse:</w:t>
      </w:r>
      <w:r w:rsidR="009E20C7" w:rsidRPr="003D2D54">
        <w:rPr>
          <w:bCs/>
          <w:sz w:val="20"/>
          <w:szCs w:val="20"/>
        </w:rPr>
        <w:t xml:space="preserve"> </w:t>
      </w:r>
      <w:r w:rsidR="003D2D54" w:rsidRPr="003D2D54">
        <w:rPr>
          <w:sz w:val="20"/>
          <w:szCs w:val="20"/>
        </w:rPr>
        <w:t xml:space="preserve">Guvernul Republicii Moldova, Biroul Relații cu Diaspora. (2025). </w:t>
      </w:r>
      <w:r w:rsidR="003D2D54" w:rsidRPr="003D2D54">
        <w:rPr>
          <w:rStyle w:val="Emphasis"/>
          <w:sz w:val="20"/>
          <w:szCs w:val="20"/>
        </w:rPr>
        <w:t>Planul de acțiuni al Biroului relații cu diaspora pentru anul 2025</w:t>
      </w:r>
      <w:r w:rsidR="003D2D54" w:rsidRPr="003D2D54">
        <w:rPr>
          <w:sz w:val="20"/>
          <w:szCs w:val="20"/>
        </w:rPr>
        <w:t xml:space="preserve">. </w:t>
      </w:r>
      <w:hyperlink r:id="rId11" w:tgtFrame="_new" w:history="1">
        <w:r w:rsidR="003D2D54" w:rsidRPr="003D2D54">
          <w:rPr>
            <w:rStyle w:val="Hyperlink"/>
            <w:sz w:val="20"/>
            <w:szCs w:val="20"/>
          </w:rPr>
          <w:t>https://brd.gov.md/wp-content/uploads/2025/02/Plan-de-actiuni_brd_2025.pdf</w:t>
        </w:r>
      </w:hyperlink>
      <w:r w:rsidR="003D2D54" w:rsidRPr="003D2D54">
        <w:rPr>
          <w:sz w:val="20"/>
          <w:szCs w:val="20"/>
        </w:rPr>
        <w:t xml:space="preserve"> </w:t>
      </w:r>
    </w:p>
    <w:p w14:paraId="68974154" w14:textId="77777777" w:rsidR="003D2D54" w:rsidRPr="003D2D54" w:rsidRDefault="003D2D54" w:rsidP="003D2D54">
      <w:pPr>
        <w:spacing w:after="240" w:line="240" w:lineRule="auto"/>
        <w:jc w:val="both"/>
        <w:rPr>
          <w:rFonts w:ascii="Times New Roman" w:hAnsi="Times New Roman" w:cs="Times New Roman"/>
          <w:sz w:val="20"/>
          <w:szCs w:val="20"/>
        </w:rPr>
      </w:pPr>
      <w:r w:rsidRPr="003D2D54">
        <w:rPr>
          <w:rFonts w:ascii="Times New Roman" w:hAnsi="Times New Roman" w:cs="Times New Roman"/>
          <w:sz w:val="20"/>
          <w:szCs w:val="20"/>
        </w:rPr>
        <w:t xml:space="preserve">Guvernul Republicii Moldova, Biroul Relații cu Diaspora. (n.d.). </w:t>
      </w:r>
      <w:r w:rsidRPr="003D2D54">
        <w:rPr>
          <w:rStyle w:val="Emphasis"/>
          <w:rFonts w:ascii="Times New Roman" w:hAnsi="Times New Roman" w:cs="Times New Roman"/>
          <w:sz w:val="20"/>
          <w:szCs w:val="20"/>
        </w:rPr>
        <w:t>Susținerea activităților culturale și educaționale în Diasporă</w:t>
      </w:r>
      <w:r w:rsidRPr="003D2D54">
        <w:rPr>
          <w:rFonts w:ascii="Times New Roman" w:hAnsi="Times New Roman" w:cs="Times New Roman"/>
          <w:sz w:val="20"/>
          <w:szCs w:val="20"/>
        </w:rPr>
        <w:t xml:space="preserve">. BRD. </w:t>
      </w:r>
      <w:hyperlink r:id="rId12" w:tgtFrame="_new" w:history="1">
        <w:r w:rsidRPr="003D2D54">
          <w:rPr>
            <w:rStyle w:val="Hyperlink"/>
            <w:rFonts w:ascii="Times New Roman" w:hAnsi="Times New Roman" w:cs="Times New Roman"/>
            <w:sz w:val="20"/>
            <w:szCs w:val="20"/>
          </w:rPr>
          <w:t>https://brd.gov.md/rezultate/sustinerea-activitatilor-culturale-si-educationale-in-diaspora/</w:t>
        </w:r>
      </w:hyperlink>
      <w:r w:rsidRPr="003D2D54">
        <w:rPr>
          <w:rFonts w:ascii="Times New Roman" w:hAnsi="Times New Roman" w:cs="Times New Roman"/>
          <w:sz w:val="20"/>
          <w:szCs w:val="20"/>
        </w:rPr>
        <w:t xml:space="preserve"> </w:t>
      </w:r>
    </w:p>
    <w:p w14:paraId="1627C2DA" w14:textId="17E42775" w:rsidR="002245FE" w:rsidRPr="00F44B81" w:rsidRDefault="008130E6" w:rsidP="00F44B81">
      <w:pPr>
        <w:spacing w:before="240" w:after="240" w:line="360" w:lineRule="auto"/>
        <w:jc w:val="both"/>
        <w:rPr>
          <w:rFonts w:ascii="Times New Roman" w:eastAsia="Times New Roman" w:hAnsi="Times New Roman" w:cs="Times New Roman"/>
          <w:sz w:val="24"/>
          <w:szCs w:val="24"/>
        </w:rPr>
      </w:pPr>
      <w:r w:rsidRPr="00F44B81">
        <w:rPr>
          <w:rFonts w:ascii="Times New Roman" w:eastAsia="Times New Roman" w:hAnsi="Times New Roman" w:cs="Times New Roman"/>
          <w:sz w:val="24"/>
          <w:szCs w:val="24"/>
        </w:rPr>
        <w:t xml:space="preserve">În vedere revenirii diasporei acasa, Biroul Relații cu Diaspora a elaborat Ghidul de Suport la revenire in Moldova, care poate fi consultat pe </w:t>
      </w:r>
      <w:hyperlink r:id="rId13" w:history="1">
        <w:r w:rsidRPr="00F44B81">
          <w:rPr>
            <w:rStyle w:val="Hyperlink"/>
            <w:rFonts w:ascii="Times New Roman" w:eastAsia="Times New Roman" w:hAnsi="Times New Roman" w:cs="Times New Roman"/>
            <w:sz w:val="24"/>
            <w:szCs w:val="24"/>
          </w:rPr>
          <w:t>pagina oficială a BRD</w:t>
        </w:r>
      </w:hyperlink>
      <w:r w:rsidR="002245FE" w:rsidRPr="00F44B81">
        <w:rPr>
          <w:rFonts w:ascii="Times New Roman" w:eastAsia="Times New Roman" w:hAnsi="Times New Roman" w:cs="Times New Roman"/>
          <w:sz w:val="24"/>
          <w:szCs w:val="24"/>
        </w:rPr>
        <w:t xml:space="preserve">. </w:t>
      </w:r>
      <w:r w:rsidRPr="00F44B81">
        <w:rPr>
          <w:rFonts w:ascii="Times New Roman" w:eastAsia="Times New Roman" w:hAnsi="Times New Roman" w:cs="Times New Roman"/>
          <w:sz w:val="24"/>
          <w:szCs w:val="24"/>
        </w:rPr>
        <w:t>Este un ghid util cu toate detaliile necesare pentru o revenire mai ușoară și o acomodare mai simplă.</w:t>
      </w:r>
    </w:p>
    <w:p w14:paraId="0E6AE2DD" w14:textId="77777777" w:rsidR="00CA253F" w:rsidRPr="002245FE" w:rsidRDefault="002245FE">
      <w:pPr>
        <w:spacing w:before="240" w:after="240"/>
        <w:jc w:val="both"/>
        <w:rPr>
          <w:rFonts w:ascii="Times New Roman" w:eastAsia="Times New Roman" w:hAnsi="Times New Roman" w:cs="Times New Roman"/>
          <w:b/>
          <w:bCs/>
          <w:iCs/>
          <w:sz w:val="24"/>
          <w:szCs w:val="24"/>
        </w:rPr>
      </w:pPr>
      <w:r w:rsidRPr="002245FE">
        <w:rPr>
          <w:rFonts w:ascii="Times New Roman" w:eastAsia="Times New Roman" w:hAnsi="Times New Roman" w:cs="Times New Roman"/>
          <w:b/>
          <w:bCs/>
          <w:iCs/>
          <w:sz w:val="24"/>
          <w:szCs w:val="24"/>
        </w:rPr>
        <w:t>4.2.</w:t>
      </w:r>
      <w:r w:rsidR="008130E6" w:rsidRPr="002245FE">
        <w:rPr>
          <w:rFonts w:ascii="Times New Roman" w:eastAsia="Times New Roman" w:hAnsi="Times New Roman" w:cs="Times New Roman"/>
          <w:b/>
          <w:bCs/>
          <w:iCs/>
          <w:sz w:val="24"/>
          <w:szCs w:val="24"/>
        </w:rPr>
        <w:t>Program</w:t>
      </w:r>
      <w:r w:rsidRPr="002245FE">
        <w:rPr>
          <w:rFonts w:ascii="Times New Roman" w:eastAsia="Times New Roman" w:hAnsi="Times New Roman" w:cs="Times New Roman"/>
          <w:b/>
          <w:bCs/>
          <w:iCs/>
          <w:sz w:val="24"/>
          <w:szCs w:val="24"/>
        </w:rPr>
        <w:t>e</w:t>
      </w:r>
      <w:r w:rsidR="008130E6" w:rsidRPr="002245FE">
        <w:rPr>
          <w:rFonts w:ascii="Times New Roman" w:eastAsia="Times New Roman" w:hAnsi="Times New Roman" w:cs="Times New Roman"/>
          <w:b/>
          <w:bCs/>
          <w:iCs/>
          <w:sz w:val="24"/>
          <w:szCs w:val="24"/>
        </w:rPr>
        <w:t xml:space="preserve"> de revenire și reintegrare a migranților moldoveni</w:t>
      </w:r>
    </w:p>
    <w:tbl>
      <w:tblPr>
        <w:tblStyle w:val="GridTable2-Accent5"/>
        <w:tblW w:w="9206" w:type="dxa"/>
        <w:tblLayout w:type="fixed"/>
        <w:tblLook w:val="0600" w:firstRow="0" w:lastRow="0" w:firstColumn="0" w:lastColumn="0" w:noHBand="1" w:noVBand="1"/>
      </w:tblPr>
      <w:tblGrid>
        <w:gridCol w:w="1268"/>
        <w:gridCol w:w="1276"/>
        <w:gridCol w:w="1251"/>
        <w:gridCol w:w="1300"/>
        <w:gridCol w:w="1276"/>
        <w:gridCol w:w="1276"/>
        <w:gridCol w:w="1559"/>
      </w:tblGrid>
      <w:tr w:rsidR="00317EA4" w:rsidRPr="00317EA4" w14:paraId="30C6F732" w14:textId="77777777" w:rsidTr="00CC2492">
        <w:trPr>
          <w:trHeight w:val="495"/>
        </w:trPr>
        <w:tc>
          <w:tcPr>
            <w:tcW w:w="1268" w:type="dxa"/>
          </w:tcPr>
          <w:p w14:paraId="358DFE92"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lastRenderedPageBreak/>
              <w:t>Inițiativă</w:t>
            </w:r>
          </w:p>
        </w:tc>
        <w:tc>
          <w:tcPr>
            <w:tcW w:w="1276" w:type="dxa"/>
          </w:tcPr>
          <w:p w14:paraId="236BE90E"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Instituție Responsabilă</w:t>
            </w:r>
          </w:p>
        </w:tc>
        <w:tc>
          <w:tcPr>
            <w:tcW w:w="1251" w:type="dxa"/>
          </w:tcPr>
          <w:p w14:paraId="7DD87288"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Perioadă</w:t>
            </w:r>
          </w:p>
        </w:tc>
        <w:tc>
          <w:tcPr>
            <w:tcW w:w="1300" w:type="dxa"/>
          </w:tcPr>
          <w:p w14:paraId="73AED14D"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Scop</w:t>
            </w:r>
          </w:p>
        </w:tc>
        <w:tc>
          <w:tcPr>
            <w:tcW w:w="1276" w:type="dxa"/>
          </w:tcPr>
          <w:p w14:paraId="14A06798"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Grup Țintă</w:t>
            </w:r>
          </w:p>
        </w:tc>
        <w:tc>
          <w:tcPr>
            <w:tcW w:w="1276" w:type="dxa"/>
          </w:tcPr>
          <w:p w14:paraId="68B2E5FE"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Mecanism</w:t>
            </w:r>
          </w:p>
        </w:tc>
        <w:tc>
          <w:tcPr>
            <w:tcW w:w="1559" w:type="dxa"/>
          </w:tcPr>
          <w:p w14:paraId="322E2ED2" w14:textId="77777777" w:rsidR="00CA253F" w:rsidRPr="00CC2492" w:rsidRDefault="008130E6">
            <w:pPr>
              <w:spacing w:before="240" w:after="240"/>
              <w:jc w:val="both"/>
              <w:rPr>
                <w:rFonts w:ascii="Times New Roman" w:eastAsia="Times New Roman" w:hAnsi="Times New Roman" w:cs="Times New Roman"/>
                <w:b/>
                <w:bCs/>
                <w:color w:val="000000" w:themeColor="text1"/>
                <w:sz w:val="18"/>
                <w:szCs w:val="18"/>
              </w:rPr>
            </w:pPr>
            <w:r w:rsidRPr="00CC2492">
              <w:rPr>
                <w:rFonts w:ascii="Times New Roman" w:eastAsia="Times New Roman" w:hAnsi="Times New Roman" w:cs="Times New Roman"/>
                <w:b/>
                <w:bCs/>
                <w:color w:val="000000" w:themeColor="text1"/>
                <w:sz w:val="18"/>
                <w:szCs w:val="18"/>
              </w:rPr>
              <w:t>Rezultate Așteptate</w:t>
            </w:r>
          </w:p>
        </w:tc>
      </w:tr>
      <w:tr w:rsidR="002245FE" w:rsidRPr="00317EA4" w14:paraId="67CA899B" w14:textId="77777777" w:rsidTr="00CC2492">
        <w:trPr>
          <w:trHeight w:val="1935"/>
        </w:trPr>
        <w:tc>
          <w:tcPr>
            <w:tcW w:w="1268" w:type="dxa"/>
          </w:tcPr>
          <w:p w14:paraId="5C0608E3" w14:textId="77777777" w:rsidR="002245FE" w:rsidRPr="00CC2492" w:rsidRDefault="00317EA4">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 xml:space="preserve">PARE </w:t>
            </w:r>
            <w:r w:rsidR="002245FE" w:rsidRPr="00CC2492">
              <w:rPr>
                <w:rFonts w:ascii="Times New Roman" w:eastAsia="Times New Roman" w:hAnsi="Times New Roman" w:cs="Times New Roman"/>
                <w:b/>
                <w:color w:val="000000" w:themeColor="text1"/>
                <w:sz w:val="18"/>
                <w:szCs w:val="18"/>
              </w:rPr>
              <w:t>1+1</w:t>
            </w:r>
          </w:p>
        </w:tc>
        <w:tc>
          <w:tcPr>
            <w:tcW w:w="1276" w:type="dxa"/>
          </w:tcPr>
          <w:p w14:paraId="6E8FD07E"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Organizația  de Dezvoltare a Afacerilor /ODA</w:t>
            </w:r>
          </w:p>
        </w:tc>
        <w:tc>
          <w:tcPr>
            <w:tcW w:w="1251" w:type="dxa"/>
          </w:tcPr>
          <w:p w14:paraId="1E3E5E6C"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Programul a fost lansat in 2010, Hotărîrea Guvernului nr.972/2010 și este în vigoare, îmbunătățit</w:t>
            </w:r>
          </w:p>
        </w:tc>
        <w:tc>
          <w:tcPr>
            <w:tcW w:w="1300" w:type="dxa"/>
          </w:tcPr>
          <w:p w14:paraId="59B91765" w14:textId="77777777" w:rsidR="002245FE" w:rsidRPr="00317EA4" w:rsidRDefault="00317EA4">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Stimularea investițiilor în economia națională prin valorificarea remitențelor migranților, în vederea susținerii IMM-urilor, creării de locuri de muncă și reintegrării economice a migranților reveniți și a diasporei.</w:t>
            </w:r>
          </w:p>
        </w:tc>
        <w:tc>
          <w:tcPr>
            <w:tcW w:w="1276" w:type="dxa"/>
          </w:tcPr>
          <w:p w14:paraId="2CC36671"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Migranții reîntorși, membrii diasporei, membrii familiilor migranților, persoane fizice sau juridice care inițiază sau dezvoltă întreprinderi în Republica Moldova</w:t>
            </w:r>
          </w:p>
        </w:tc>
        <w:tc>
          <w:tcPr>
            <w:tcW w:w="1276" w:type="dxa"/>
          </w:tcPr>
          <w:p w14:paraId="5F3DD457" w14:textId="77777777" w:rsidR="002245FE" w:rsidRPr="00317EA4" w:rsidRDefault="00317EA4">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Acordarea de granturi nerambursabile 1+1, prin care statul dublează investițiile din remitențe pentru modernizarea afacerilor, condiționate de participarea la instruiri și mentorat.</w:t>
            </w:r>
          </w:p>
        </w:tc>
        <w:tc>
          <w:tcPr>
            <w:tcW w:w="1559" w:type="dxa"/>
          </w:tcPr>
          <w:p w14:paraId="6207FEE5" w14:textId="77777777" w:rsidR="002245FE" w:rsidRPr="00317EA4" w:rsidRDefault="00317EA4">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Valorificarea remitențelor, crearea și dezvoltarea întrerpinderilor mici și mijlocii și reintegrarea economică a migranților reîntorși și a diasporei.</w:t>
            </w:r>
          </w:p>
        </w:tc>
      </w:tr>
      <w:tr w:rsidR="00317EA4" w:rsidRPr="00317EA4" w14:paraId="7E890824" w14:textId="77777777" w:rsidTr="00CC2492">
        <w:trPr>
          <w:trHeight w:val="1935"/>
        </w:trPr>
        <w:tc>
          <w:tcPr>
            <w:tcW w:w="1268" w:type="dxa"/>
          </w:tcPr>
          <w:p w14:paraId="600DE728"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PARE 1+2</w:t>
            </w:r>
          </w:p>
        </w:tc>
        <w:tc>
          <w:tcPr>
            <w:tcW w:w="1276" w:type="dxa"/>
          </w:tcPr>
          <w:p w14:paraId="1069E04C"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Organizația pentru Dezvoltare Sectorul Întreprinderilor Mici și Mijlocii (ODA)</w:t>
            </w:r>
          </w:p>
        </w:tc>
        <w:tc>
          <w:tcPr>
            <w:tcW w:w="1251" w:type="dxa"/>
          </w:tcPr>
          <w:p w14:paraId="48CE734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Din 2010, extins 2022 (36 luni/etapă)</w:t>
            </w:r>
          </w:p>
        </w:tc>
        <w:tc>
          <w:tcPr>
            <w:tcW w:w="1300" w:type="dxa"/>
          </w:tcPr>
          <w:p w14:paraId="3328BF4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Investiții remitențe în afaceri, reintegrare economică</w:t>
            </w:r>
          </w:p>
        </w:tc>
        <w:tc>
          <w:tcPr>
            <w:tcW w:w="1276" w:type="dxa"/>
          </w:tcPr>
          <w:p w14:paraId="3D3E32B9"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Migranți RM, rude grad I, beneficiari remitențe</w:t>
            </w:r>
          </w:p>
        </w:tc>
        <w:tc>
          <w:tcPr>
            <w:tcW w:w="1276" w:type="dxa"/>
          </w:tcPr>
          <w:p w14:paraId="162CC4B1"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Granturi 1+1 (250k MDL start-up), 1+2 (500k MDL dezvoltare), training</w:t>
            </w:r>
          </w:p>
        </w:tc>
        <w:tc>
          <w:tcPr>
            <w:tcW w:w="1559" w:type="dxa"/>
          </w:tcPr>
          <w:p w14:paraId="4E8279D7"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Creștere afaceri rurale, joburi, 1623+ inițiative susținute</w:t>
            </w:r>
          </w:p>
        </w:tc>
      </w:tr>
      <w:tr w:rsidR="00317EA4" w:rsidRPr="00317EA4" w14:paraId="542E2FB1" w14:textId="77777777" w:rsidTr="00CC2492">
        <w:trPr>
          <w:trHeight w:val="1695"/>
        </w:trPr>
        <w:tc>
          <w:tcPr>
            <w:tcW w:w="1268" w:type="dxa"/>
          </w:tcPr>
          <w:p w14:paraId="6A0A4184"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DAR 1+3</w:t>
            </w:r>
          </w:p>
        </w:tc>
        <w:tc>
          <w:tcPr>
            <w:tcW w:w="1276" w:type="dxa"/>
          </w:tcPr>
          <w:p w14:paraId="26804949"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 Guvernul RM</w:t>
            </w:r>
          </w:p>
        </w:tc>
        <w:tc>
          <w:tcPr>
            <w:tcW w:w="1251" w:type="dxa"/>
          </w:tcPr>
          <w:p w14:paraId="2288315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2019-2025, prelungire planificată</w:t>
            </w:r>
          </w:p>
        </w:tc>
        <w:tc>
          <w:tcPr>
            <w:tcW w:w="1300" w:type="dxa"/>
          </w:tcPr>
          <w:p w14:paraId="5DD8A1F4"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Utilizare potențial diaspora în dezvoltare socio-economică</w:t>
            </w:r>
          </w:p>
        </w:tc>
        <w:tc>
          <w:tcPr>
            <w:tcW w:w="1276" w:type="dxa"/>
          </w:tcPr>
          <w:p w14:paraId="5AC9E9F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Diaspora, autorități locale</w:t>
            </w:r>
          </w:p>
        </w:tc>
        <w:tc>
          <w:tcPr>
            <w:tcW w:w="1276" w:type="dxa"/>
          </w:tcPr>
          <w:p w14:paraId="0F210717"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Parteneriat 1+3 (diaspora + gov + locali + donatori), proiecte infrastructură</w:t>
            </w:r>
          </w:p>
        </w:tc>
        <w:tc>
          <w:tcPr>
            <w:tcW w:w="1559" w:type="dxa"/>
          </w:tcPr>
          <w:p w14:paraId="0119C1D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194+ proiecte locale realizate</w:t>
            </w:r>
          </w:p>
        </w:tc>
      </w:tr>
      <w:tr w:rsidR="00317EA4" w:rsidRPr="00317EA4" w14:paraId="79DC4C4D" w14:textId="77777777" w:rsidTr="00CC2492">
        <w:trPr>
          <w:trHeight w:val="1935"/>
        </w:trPr>
        <w:tc>
          <w:tcPr>
            <w:tcW w:w="1268" w:type="dxa"/>
          </w:tcPr>
          <w:p w14:paraId="0AE88A4C"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 xml:space="preserve">Serviciu Asistență </w:t>
            </w:r>
            <w:r w:rsidR="009E20C7" w:rsidRPr="00CC2492">
              <w:rPr>
                <w:rFonts w:ascii="Times New Roman" w:eastAsia="Times New Roman" w:hAnsi="Times New Roman" w:cs="Times New Roman"/>
                <w:b/>
                <w:color w:val="000000" w:themeColor="text1"/>
                <w:sz w:val="18"/>
                <w:szCs w:val="18"/>
              </w:rPr>
              <w:t>la revenire (ghișeu unic)</w:t>
            </w:r>
          </w:p>
        </w:tc>
        <w:tc>
          <w:tcPr>
            <w:tcW w:w="1276" w:type="dxa"/>
          </w:tcPr>
          <w:p w14:paraId="160E4141"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w:t>
            </w:r>
          </w:p>
        </w:tc>
        <w:tc>
          <w:tcPr>
            <w:tcW w:w="1251" w:type="dxa"/>
          </w:tcPr>
          <w:p w14:paraId="3BEA2491"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Lansat aprilie 2025</w:t>
            </w:r>
          </w:p>
        </w:tc>
        <w:tc>
          <w:tcPr>
            <w:tcW w:w="1300" w:type="dxa"/>
          </w:tcPr>
          <w:p w14:paraId="2089B33B"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Suport reintegrare la toate etapele</w:t>
            </w:r>
          </w:p>
        </w:tc>
        <w:tc>
          <w:tcPr>
            <w:tcW w:w="1276" w:type="dxa"/>
          </w:tcPr>
          <w:p w14:paraId="5DADAF21"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Cetățeni diaspora dornici returnare</w:t>
            </w:r>
          </w:p>
        </w:tc>
        <w:tc>
          <w:tcPr>
            <w:tcW w:w="1276" w:type="dxa"/>
          </w:tcPr>
          <w:p w14:paraId="6B2476E1"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Ghid returnare one-stop-shop: info servicii sociale, joburi, fonduri</w:t>
            </w:r>
          </w:p>
        </w:tc>
        <w:tc>
          <w:tcPr>
            <w:tcW w:w="1559" w:type="dxa"/>
          </w:tcPr>
          <w:p w14:paraId="70F1732C"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Reintegrare ușoară, integrare socială/economică</w:t>
            </w:r>
          </w:p>
        </w:tc>
      </w:tr>
      <w:tr w:rsidR="00317EA4" w:rsidRPr="00317EA4" w14:paraId="345559CA" w14:textId="77777777" w:rsidTr="00CC2492">
        <w:trPr>
          <w:trHeight w:val="1215"/>
        </w:trPr>
        <w:tc>
          <w:tcPr>
            <w:tcW w:w="1268" w:type="dxa"/>
          </w:tcPr>
          <w:p w14:paraId="136826C7"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Program Mentorship Reintegrare</w:t>
            </w:r>
          </w:p>
        </w:tc>
        <w:tc>
          <w:tcPr>
            <w:tcW w:w="1276" w:type="dxa"/>
          </w:tcPr>
          <w:p w14:paraId="1DA45D1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Biroul pentru Relații cu Diaspora (BRD)</w:t>
            </w:r>
          </w:p>
        </w:tc>
        <w:tc>
          <w:tcPr>
            <w:tcW w:w="1251" w:type="dxa"/>
          </w:tcPr>
          <w:p w14:paraId="4592EE34"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Lansare 2026</w:t>
            </w:r>
          </w:p>
        </w:tc>
        <w:tc>
          <w:tcPr>
            <w:tcW w:w="1300" w:type="dxa"/>
          </w:tcPr>
          <w:p w14:paraId="30C90DFE"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Ajutor autorități locale reintegrare returnați</w:t>
            </w:r>
          </w:p>
        </w:tc>
        <w:tc>
          <w:tcPr>
            <w:tcW w:w="1276" w:type="dxa"/>
          </w:tcPr>
          <w:p w14:paraId="2C2A9F9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Autorități publice locale, returnați</w:t>
            </w:r>
          </w:p>
        </w:tc>
        <w:tc>
          <w:tcPr>
            <w:tcW w:w="1276" w:type="dxa"/>
          </w:tcPr>
          <w:p w14:paraId="7A39474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Mentorship pentru politici reintegrare</w:t>
            </w:r>
          </w:p>
        </w:tc>
        <w:tc>
          <w:tcPr>
            <w:tcW w:w="1559" w:type="dxa"/>
          </w:tcPr>
          <w:p w14:paraId="027096C9"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Reintegrare eficientă la nivel local</w:t>
            </w:r>
          </w:p>
        </w:tc>
      </w:tr>
      <w:tr w:rsidR="00317EA4" w:rsidRPr="00317EA4" w14:paraId="1E44AACB" w14:textId="77777777" w:rsidTr="00CC2492">
        <w:trPr>
          <w:trHeight w:val="1935"/>
        </w:trPr>
        <w:tc>
          <w:tcPr>
            <w:tcW w:w="1268" w:type="dxa"/>
          </w:tcPr>
          <w:p w14:paraId="496259C6" w14:textId="77777777" w:rsidR="00CA253F" w:rsidRPr="00CC2492" w:rsidRDefault="008130E6">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lastRenderedPageBreak/>
              <w:t>Programul Național de Stimulare a Revenirilor și Reintegrare</w:t>
            </w:r>
          </w:p>
        </w:tc>
        <w:tc>
          <w:tcPr>
            <w:tcW w:w="1276" w:type="dxa"/>
          </w:tcPr>
          <w:p w14:paraId="5D1AE508"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BRD și Guvernul RM</w:t>
            </w:r>
          </w:p>
        </w:tc>
        <w:tc>
          <w:tcPr>
            <w:tcW w:w="1251" w:type="dxa"/>
          </w:tcPr>
          <w:p w14:paraId="6BD15785" w14:textId="77777777" w:rsidR="00CA253F" w:rsidRPr="00317EA4" w:rsidRDefault="008130E6">
            <w:pPr>
              <w:spacing w:before="240" w:after="240"/>
              <w:jc w:val="center"/>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2022-2026</w:t>
            </w:r>
          </w:p>
        </w:tc>
        <w:tc>
          <w:tcPr>
            <w:tcW w:w="1300" w:type="dxa"/>
          </w:tcPr>
          <w:p w14:paraId="59176D92" w14:textId="77777777" w:rsidR="00CA253F" w:rsidRPr="00317EA4" w:rsidRDefault="008130E6" w:rsidP="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Creare sistem -coerent de suport pentru revenire ș</w:t>
            </w:r>
            <w:r w:rsidR="002245FE" w:rsidRPr="00317EA4">
              <w:rPr>
                <w:rFonts w:ascii="Times New Roman" w:eastAsia="Times New Roman" w:hAnsi="Times New Roman" w:cs="Times New Roman"/>
                <w:bCs/>
                <w:sz w:val="18"/>
                <w:szCs w:val="18"/>
              </w:rPr>
              <w:t xml:space="preserve">i </w:t>
            </w:r>
            <w:r w:rsidRPr="00317EA4">
              <w:rPr>
                <w:rFonts w:ascii="Times New Roman" w:eastAsia="Times New Roman" w:hAnsi="Times New Roman" w:cs="Times New Roman"/>
                <w:bCs/>
                <w:sz w:val="18"/>
                <w:szCs w:val="18"/>
              </w:rPr>
              <w:t>reintegrare sustenabil</w:t>
            </w:r>
            <w:r w:rsidR="002245FE" w:rsidRPr="00317EA4">
              <w:rPr>
                <w:rFonts w:ascii="Times New Roman" w:eastAsia="Times New Roman" w:hAnsi="Times New Roman" w:cs="Times New Roman"/>
                <w:bCs/>
                <w:sz w:val="18"/>
                <w:szCs w:val="18"/>
              </w:rPr>
              <w:t>ă</w:t>
            </w:r>
          </w:p>
        </w:tc>
        <w:tc>
          <w:tcPr>
            <w:tcW w:w="1276" w:type="dxa"/>
          </w:tcPr>
          <w:p w14:paraId="72D3556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Migranți reveniți, familii, potențiali migranți</w:t>
            </w:r>
          </w:p>
        </w:tc>
        <w:tc>
          <w:tcPr>
            <w:tcW w:w="1276" w:type="dxa"/>
          </w:tcPr>
          <w:p w14:paraId="307F2DD3"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 xml:space="preserve"> </w:t>
            </w:r>
          </w:p>
        </w:tc>
        <w:tc>
          <w:tcPr>
            <w:tcW w:w="1559" w:type="dxa"/>
          </w:tcPr>
          <w:p w14:paraId="1A0DCB80" w14:textId="77777777" w:rsidR="00CA253F" w:rsidRPr="00317EA4" w:rsidRDefault="008130E6">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25% diaspora intenționează revenire; 50% reintegrați cu succes; suport</w:t>
            </w:r>
          </w:p>
        </w:tc>
      </w:tr>
      <w:tr w:rsidR="002245FE" w:rsidRPr="00317EA4" w14:paraId="137A892B" w14:textId="77777777" w:rsidTr="00CC2492">
        <w:trPr>
          <w:trHeight w:val="1935"/>
        </w:trPr>
        <w:tc>
          <w:tcPr>
            <w:tcW w:w="1268" w:type="dxa"/>
          </w:tcPr>
          <w:p w14:paraId="4B58F78D" w14:textId="77777777" w:rsidR="002245FE" w:rsidRPr="00CC2492" w:rsidRDefault="002245FE">
            <w:pPr>
              <w:spacing w:before="240" w:after="240"/>
              <w:jc w:val="both"/>
              <w:rPr>
                <w:rFonts w:ascii="Times New Roman" w:eastAsia="Times New Roman" w:hAnsi="Times New Roman" w:cs="Times New Roman"/>
                <w:b/>
                <w:color w:val="000000" w:themeColor="text1"/>
                <w:sz w:val="18"/>
                <w:szCs w:val="18"/>
              </w:rPr>
            </w:pPr>
            <w:r w:rsidRPr="00CC2492">
              <w:rPr>
                <w:rFonts w:ascii="Times New Roman" w:eastAsia="Times New Roman" w:hAnsi="Times New Roman" w:cs="Times New Roman"/>
                <w:b/>
                <w:color w:val="000000" w:themeColor="text1"/>
                <w:sz w:val="18"/>
                <w:szCs w:val="18"/>
              </w:rPr>
              <w:t>Program de susținere a revenirii și reintegrării absolvenților</w:t>
            </w:r>
          </w:p>
        </w:tc>
        <w:tc>
          <w:tcPr>
            <w:tcW w:w="1276" w:type="dxa"/>
          </w:tcPr>
          <w:p w14:paraId="2F1DB2D7"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BRD</w:t>
            </w:r>
          </w:p>
        </w:tc>
        <w:tc>
          <w:tcPr>
            <w:tcW w:w="1251" w:type="dxa"/>
          </w:tcPr>
          <w:p w14:paraId="2162BB0C" w14:textId="77777777" w:rsidR="002245FE" w:rsidRPr="00317EA4" w:rsidRDefault="002245FE" w:rsidP="002245FE">
            <w:pPr>
              <w:spacing w:before="240" w:after="240"/>
              <w:jc w:val="center"/>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2024-2025 (cicluri anuale)</w:t>
            </w:r>
          </w:p>
        </w:tc>
        <w:tc>
          <w:tcPr>
            <w:tcW w:w="1300" w:type="dxa"/>
          </w:tcPr>
          <w:p w14:paraId="63AE8623"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Facilitarea revenirii și integrării tinerilor absolvenți din străinătate</w:t>
            </w:r>
          </w:p>
        </w:tc>
        <w:tc>
          <w:tcPr>
            <w:tcW w:w="1276" w:type="dxa"/>
          </w:tcPr>
          <w:p w14:paraId="395CD132"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Absolvenți RM sau descendenți din diaspora</w:t>
            </w:r>
          </w:p>
        </w:tc>
        <w:tc>
          <w:tcPr>
            <w:tcW w:w="1276" w:type="dxa"/>
          </w:tcPr>
          <w:p w14:paraId="38D234E5"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Informare, sprijin logistic, potrivire cu piața muncii</w:t>
            </w:r>
          </w:p>
        </w:tc>
        <w:tc>
          <w:tcPr>
            <w:tcW w:w="1559" w:type="dxa"/>
          </w:tcPr>
          <w:p w14:paraId="734404D6" w14:textId="77777777" w:rsidR="002245FE" w:rsidRPr="00317EA4" w:rsidRDefault="002245FE">
            <w:pPr>
              <w:spacing w:before="240" w:after="240"/>
              <w:jc w:val="both"/>
              <w:rPr>
                <w:rFonts w:ascii="Times New Roman" w:eastAsia="Times New Roman" w:hAnsi="Times New Roman" w:cs="Times New Roman"/>
                <w:bCs/>
                <w:sz w:val="18"/>
                <w:szCs w:val="18"/>
              </w:rPr>
            </w:pPr>
            <w:r w:rsidRPr="00317EA4">
              <w:rPr>
                <w:rFonts w:ascii="Times New Roman" w:eastAsia="Times New Roman" w:hAnsi="Times New Roman" w:cs="Times New Roman"/>
                <w:bCs/>
                <w:sz w:val="18"/>
                <w:szCs w:val="18"/>
              </w:rPr>
              <w:t>Creșterea numărului de tineri integrați profesional</w:t>
            </w:r>
          </w:p>
        </w:tc>
      </w:tr>
    </w:tbl>
    <w:p w14:paraId="5EED012C" w14:textId="77777777" w:rsidR="003D2D54" w:rsidRPr="003D2D54" w:rsidRDefault="008130E6" w:rsidP="003D2D54">
      <w:pPr>
        <w:spacing w:line="240" w:lineRule="auto"/>
        <w:jc w:val="both"/>
        <w:rPr>
          <w:rFonts w:ascii="Times New Roman" w:eastAsia="Times New Roman" w:hAnsi="Times New Roman" w:cs="Times New Roman"/>
          <w:bCs/>
          <w:sz w:val="20"/>
          <w:szCs w:val="20"/>
        </w:rPr>
      </w:pPr>
      <w:r w:rsidRPr="00317EA4">
        <w:rPr>
          <w:rFonts w:ascii="Times New Roman" w:eastAsia="Times New Roman" w:hAnsi="Times New Roman" w:cs="Times New Roman"/>
          <w:bCs/>
          <w:sz w:val="24"/>
          <w:szCs w:val="24"/>
        </w:rPr>
        <w:t>Surs</w:t>
      </w:r>
      <w:r w:rsidR="003D2D54">
        <w:rPr>
          <w:rFonts w:ascii="Times New Roman" w:eastAsia="Times New Roman" w:hAnsi="Times New Roman" w:cs="Times New Roman"/>
          <w:bCs/>
          <w:sz w:val="24"/>
          <w:szCs w:val="24"/>
        </w:rPr>
        <w:t>e</w:t>
      </w:r>
      <w:r w:rsidRPr="00317EA4">
        <w:rPr>
          <w:rFonts w:ascii="Times New Roman" w:eastAsia="Times New Roman" w:hAnsi="Times New Roman" w:cs="Times New Roman"/>
          <w:bCs/>
          <w:sz w:val="24"/>
          <w:szCs w:val="24"/>
        </w:rPr>
        <w:t>:</w:t>
      </w:r>
      <w:r w:rsidR="003D2D54">
        <w:rPr>
          <w:rFonts w:ascii="Times New Roman" w:eastAsia="Times New Roman" w:hAnsi="Times New Roman" w:cs="Times New Roman"/>
          <w:bCs/>
          <w:sz w:val="24"/>
          <w:szCs w:val="24"/>
        </w:rPr>
        <w:t xml:space="preserve"> </w:t>
      </w:r>
      <w:r w:rsidR="003D2D54" w:rsidRPr="003D2D54">
        <w:rPr>
          <w:rFonts w:ascii="Times New Roman" w:eastAsia="Times New Roman" w:hAnsi="Times New Roman" w:cs="Times New Roman"/>
          <w:bCs/>
          <w:sz w:val="20"/>
          <w:szCs w:val="20"/>
        </w:rPr>
        <w:t xml:space="preserve">Organizația pentru Dezvoltarea Antreprenoriatului (ODA). (n.d.). </w:t>
      </w:r>
      <w:r w:rsidR="003D2D54" w:rsidRPr="003D2D54">
        <w:rPr>
          <w:rFonts w:ascii="Times New Roman" w:eastAsia="Times New Roman" w:hAnsi="Times New Roman" w:cs="Times New Roman"/>
          <w:bCs/>
          <w:i/>
          <w:iCs/>
          <w:sz w:val="20"/>
          <w:szCs w:val="20"/>
        </w:rPr>
        <w:t>Programul PARE 1+2</w:t>
      </w:r>
      <w:r w:rsidR="003D2D54" w:rsidRPr="003D2D54">
        <w:rPr>
          <w:rFonts w:ascii="Times New Roman" w:eastAsia="Times New Roman" w:hAnsi="Times New Roman" w:cs="Times New Roman"/>
          <w:bCs/>
          <w:sz w:val="20"/>
          <w:szCs w:val="20"/>
        </w:rPr>
        <w:t xml:space="preserve">. </w:t>
      </w:r>
      <w:hyperlink r:id="rId14" w:tgtFrame="_new" w:history="1">
        <w:r w:rsidR="003D2D54" w:rsidRPr="003D2D54">
          <w:rPr>
            <w:rStyle w:val="Hyperlink"/>
            <w:rFonts w:ascii="Times New Roman" w:eastAsia="Times New Roman" w:hAnsi="Times New Roman" w:cs="Times New Roman"/>
            <w:bCs/>
            <w:sz w:val="20"/>
            <w:szCs w:val="20"/>
          </w:rPr>
          <w:t>https://www.oda.md/ro/pare1</w:t>
        </w:r>
      </w:hyperlink>
    </w:p>
    <w:p w14:paraId="4552EAEC" w14:textId="77777777" w:rsidR="003D2D54" w:rsidRPr="003D2D54" w:rsidRDefault="003D2D54" w:rsidP="003D2D54">
      <w:pPr>
        <w:spacing w:line="240" w:lineRule="auto"/>
        <w:jc w:val="both"/>
        <w:rPr>
          <w:rFonts w:ascii="Times New Roman" w:hAnsi="Times New Roman" w:cs="Times New Roman"/>
          <w:sz w:val="20"/>
          <w:szCs w:val="20"/>
        </w:rPr>
      </w:pPr>
      <w:r w:rsidRPr="003D2D54">
        <w:rPr>
          <w:rFonts w:ascii="Times New Roman" w:hAnsi="Times New Roman" w:cs="Times New Roman"/>
          <w:sz w:val="20"/>
          <w:szCs w:val="20"/>
        </w:rPr>
        <w:t xml:space="preserve">Guvernul Republicii Moldova, Biroul Relații cu Diaspora. (2025, 11 martie). </w:t>
      </w:r>
      <w:r w:rsidRPr="003D2D54">
        <w:rPr>
          <w:rFonts w:ascii="Times New Roman" w:hAnsi="Times New Roman" w:cs="Times New Roman"/>
          <w:i/>
          <w:iCs/>
          <w:sz w:val="20"/>
          <w:szCs w:val="20"/>
        </w:rPr>
        <w:t>Programul Diaspora Acasă Reușește “DAR 1+3”</w:t>
      </w:r>
      <w:r w:rsidRPr="003D2D54">
        <w:rPr>
          <w:rFonts w:ascii="Times New Roman" w:hAnsi="Times New Roman" w:cs="Times New Roman"/>
          <w:sz w:val="20"/>
          <w:szCs w:val="20"/>
        </w:rPr>
        <w:t xml:space="preserve">. </w:t>
      </w:r>
      <w:hyperlink r:id="rId15" w:tgtFrame="_new" w:history="1">
        <w:r w:rsidRPr="003D2D54">
          <w:rPr>
            <w:rFonts w:ascii="Times New Roman" w:hAnsi="Times New Roman" w:cs="Times New Roman"/>
            <w:color w:val="0000FF"/>
            <w:sz w:val="20"/>
            <w:szCs w:val="20"/>
            <w:u w:val="single"/>
          </w:rPr>
          <w:t>https://brd.gov.md/rezultate/programul-diaspora-acasa-reuseste-dar-13/</w:t>
        </w:r>
      </w:hyperlink>
      <w:hyperlink r:id="rId16" w:tgtFrame="_new" w:history="1">
        <w:r w:rsidRPr="003D2D54">
          <w:rPr>
            <w:rFonts w:ascii="Times New Roman" w:hAnsi="Times New Roman" w:cs="Times New Roman"/>
            <w:color w:val="0000FF"/>
            <w:sz w:val="20"/>
            <w:szCs w:val="20"/>
            <w:u w:val="single"/>
          </w:rPr>
          <w:t>brd.gov.md</w:t>
        </w:r>
      </w:hyperlink>
    </w:p>
    <w:p w14:paraId="190B35D4" w14:textId="77777777" w:rsidR="003D2D54" w:rsidRPr="003D2D54" w:rsidRDefault="003D2D54" w:rsidP="003D2D54">
      <w:pPr>
        <w:spacing w:line="240" w:lineRule="auto"/>
        <w:jc w:val="both"/>
        <w:rPr>
          <w:rFonts w:ascii="Times New Roman" w:hAnsi="Times New Roman" w:cs="Times New Roman"/>
          <w:sz w:val="20"/>
          <w:szCs w:val="20"/>
        </w:rPr>
      </w:pPr>
      <w:r w:rsidRPr="003D2D54">
        <w:rPr>
          <w:rFonts w:ascii="Times New Roman" w:hAnsi="Times New Roman" w:cs="Times New Roman"/>
          <w:sz w:val="20"/>
          <w:szCs w:val="20"/>
        </w:rPr>
        <w:t xml:space="preserve">Guvernul Republicii Moldova, Biroul Relații cu Diaspora. (n.d.). </w:t>
      </w:r>
      <w:r w:rsidRPr="003D2D54">
        <w:rPr>
          <w:rFonts w:ascii="Times New Roman" w:hAnsi="Times New Roman" w:cs="Times New Roman"/>
          <w:i/>
          <w:iCs/>
          <w:sz w:val="20"/>
          <w:szCs w:val="20"/>
        </w:rPr>
        <w:t>Susținere a revenirii de scurtă durată a membrilor diasporei cu experiență profesională avansată</w:t>
      </w:r>
      <w:r w:rsidRPr="003D2D54">
        <w:rPr>
          <w:rFonts w:ascii="Times New Roman" w:hAnsi="Times New Roman" w:cs="Times New Roman"/>
          <w:sz w:val="20"/>
          <w:szCs w:val="20"/>
        </w:rPr>
        <w:t xml:space="preserve">. BRD. </w:t>
      </w:r>
      <w:hyperlink r:id="rId17" w:tgtFrame="_new" w:history="1">
        <w:r w:rsidRPr="003D2D54">
          <w:rPr>
            <w:rFonts w:ascii="Times New Roman" w:hAnsi="Times New Roman" w:cs="Times New Roman"/>
            <w:color w:val="0000FF"/>
            <w:sz w:val="20"/>
            <w:szCs w:val="20"/>
            <w:u w:val="single"/>
          </w:rPr>
          <w:t>https://brd.gov.md/rezultate/sustinere-a-revenirii-de-scurta-durata-a-membrilor-diasporei-cu-experienta-profesionala-avansata/</w:t>
        </w:r>
      </w:hyperlink>
    </w:p>
    <w:p w14:paraId="131299C3" w14:textId="28BC1EFC" w:rsidR="00CA253F" w:rsidRPr="003D2D54" w:rsidRDefault="003D2D54" w:rsidP="003D2D54">
      <w:pPr>
        <w:spacing w:line="240" w:lineRule="auto"/>
        <w:jc w:val="both"/>
        <w:rPr>
          <w:rFonts w:ascii="Times New Roman" w:hAnsi="Times New Roman" w:cs="Times New Roman"/>
          <w:sz w:val="20"/>
          <w:szCs w:val="20"/>
        </w:rPr>
      </w:pPr>
      <w:r w:rsidRPr="003D2D54">
        <w:rPr>
          <w:rFonts w:ascii="Times New Roman" w:hAnsi="Times New Roman" w:cs="Times New Roman"/>
          <w:sz w:val="20"/>
          <w:szCs w:val="20"/>
        </w:rPr>
        <w:t>Guvernul Republicii Moldova, Biroul Relații cu Diaspora.</w:t>
      </w:r>
      <w:r w:rsidR="0083031C">
        <w:rPr>
          <w:rFonts w:ascii="Times New Roman" w:hAnsi="Times New Roman" w:cs="Times New Roman"/>
          <w:sz w:val="20"/>
          <w:szCs w:val="20"/>
        </w:rPr>
        <w:t xml:space="preserve"> </w:t>
      </w:r>
      <w:r w:rsidRPr="003D2D54">
        <w:rPr>
          <w:rFonts w:ascii="Times New Roman" w:hAnsi="Times New Roman" w:cs="Times New Roman"/>
          <w:i/>
          <w:sz w:val="20"/>
          <w:szCs w:val="20"/>
        </w:rPr>
        <w:t>Ghid pentru suport la revenire</w:t>
      </w:r>
      <w:r w:rsidRPr="003D2D54">
        <w:rPr>
          <w:rFonts w:ascii="Times New Roman" w:hAnsi="Times New Roman" w:cs="Times New Roman"/>
          <w:sz w:val="20"/>
          <w:szCs w:val="20"/>
        </w:rPr>
        <w:t>. BRD. https://brd.gov.md/revenire/ghid-pentru-suport-la-revenire/</w:t>
      </w:r>
    </w:p>
    <w:p w14:paraId="4BA18955" w14:textId="77777777" w:rsidR="00317EA4" w:rsidRPr="0072670E" w:rsidRDefault="00317EA4" w:rsidP="00F44B81">
      <w:p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 xml:space="preserve">De asemenea, în același context, pot evidențiate și unele inițiative ale ONG-urilor din Republica Moldova în ceea ce vizează integrarea socială a migranților reîntorși: </w:t>
      </w:r>
    </w:p>
    <w:p w14:paraId="0F1E6443" w14:textId="77777777" w:rsidR="00317EA4" w:rsidRPr="0072670E" w:rsidRDefault="00317EA4" w:rsidP="00F44B81">
      <w:pPr>
        <w:pStyle w:val="ListParagraph"/>
        <w:numPr>
          <w:ilvl w:val="0"/>
          <w:numId w:val="4"/>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Asociația „Diaspora Acasă”, care sprijină reintegrarea socio-economică a migranților reveniți, oferă: mentorat pentru inițiative de afaceri, conectare cu APL și instituții publice, activități de implicare civică locală</w:t>
      </w:r>
    </w:p>
    <w:p w14:paraId="1BF924C6" w14:textId="77777777" w:rsidR="00317EA4" w:rsidRPr="0072670E" w:rsidRDefault="00317EA4" w:rsidP="00F44B81">
      <w:pPr>
        <w:pStyle w:val="ListParagraph"/>
        <w:numPr>
          <w:ilvl w:val="0"/>
          <w:numId w:val="4"/>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Centrul de Informare și Resurse pentru Migranți (CIRM): consiliază migranți și migranți reîntorși, acordă asistență juridică și informațională: drepturi sociale , recunoașterea studiilor/competențelor, acces la servicii publice</w:t>
      </w:r>
    </w:p>
    <w:p w14:paraId="40048FE1" w14:textId="77777777" w:rsidR="00317EA4" w:rsidRPr="0072670E" w:rsidRDefault="00317EA4" w:rsidP="00F44B81">
      <w:pPr>
        <w:pStyle w:val="ListParagraph"/>
        <w:numPr>
          <w:ilvl w:val="0"/>
          <w:numId w:val="4"/>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Asociația pentru Politică Externă (APE), elaborează proiecte de implicare a diasporei în dezvoltarea națională, efectuează studii și platforme de dialog: diaspora–autorități, diaspora–societate civilă</w:t>
      </w:r>
    </w:p>
    <w:p w14:paraId="0A107D50" w14:textId="77777777" w:rsidR="00317EA4" w:rsidRPr="0072670E" w:rsidRDefault="00317EA4" w:rsidP="00F44B81">
      <w:pPr>
        <w:pStyle w:val="ListParagraph"/>
        <w:numPr>
          <w:ilvl w:val="0"/>
          <w:numId w:val="4"/>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Fundația Est-Europeană (FEE), oferă granturi pentru ONG-uri locale care lucrează cu: diaspora, migranți reîntorși. Proiecte axate pe: incluziune socială, dezvoltare comunitară, guvernanță participativă</w:t>
      </w:r>
    </w:p>
    <w:p w14:paraId="35A41FFC" w14:textId="77777777" w:rsidR="00317EA4" w:rsidRPr="0072670E" w:rsidRDefault="00317EA4" w:rsidP="00F44B81">
      <w:pPr>
        <w:pStyle w:val="ListParagraph"/>
        <w:numPr>
          <w:ilvl w:val="0"/>
          <w:numId w:val="4"/>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lastRenderedPageBreak/>
        <w:t>Asociația „Moștenitorii” / ONG-uri locale de reintegrare, are un șir de inițiative mici, dar relevante: sprijin psihosocial pentru migranți reveniți, activități de coeziune comunitară, integrarea copiilor migranților reveniți.</w:t>
      </w:r>
    </w:p>
    <w:p w14:paraId="746BC9AE" w14:textId="77777777" w:rsidR="00317EA4" w:rsidRPr="0072670E" w:rsidRDefault="00317EA4" w:rsidP="00F44B81">
      <w:p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Alte inițiative implementate de ONG-uri realizate în parteneriat cu organizații internaționale pot fi menționate:</w:t>
      </w:r>
    </w:p>
    <w:p w14:paraId="66250ED2" w14:textId="77777777" w:rsidR="00317EA4" w:rsidRPr="0072670E" w:rsidRDefault="00317EA4" w:rsidP="00F44B81">
      <w:pPr>
        <w:pStyle w:val="ListParagraph"/>
        <w:numPr>
          <w:ilvl w:val="0"/>
          <w:numId w:val="6"/>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OIM Moldova (în parteneriat cu ONG-uri locale): implementează programe de: reintegrare profesională, granturi mici pentru afaceri, formare profesională, ONG-urile implementează: consiliere, monitorizare, asistență individualizată</w:t>
      </w:r>
    </w:p>
    <w:p w14:paraId="36B67CCF" w14:textId="77777777" w:rsidR="00317EA4" w:rsidRPr="0072670E" w:rsidRDefault="00317EA4" w:rsidP="00F44B81">
      <w:pPr>
        <w:pStyle w:val="ListParagraph"/>
        <w:numPr>
          <w:ilvl w:val="0"/>
          <w:numId w:val="6"/>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Proiecte finanțate de UE / GIZ / SDC: orientate spre ONG-urile , care oferă: cursuri de antreprenoriat pentru migranți reîntorși, orientare profesională, sprijin pentru femei migrante revenite.</w:t>
      </w:r>
    </w:p>
    <w:p w14:paraId="11DEE7F8" w14:textId="77777777" w:rsidR="00317EA4" w:rsidRPr="0072670E" w:rsidRDefault="00317EA4" w:rsidP="00F44B81">
      <w:p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Alte Inițiative internaționale relevante (bune practici ONG):</w:t>
      </w:r>
    </w:p>
    <w:p w14:paraId="2F75D59C" w14:textId="77777777" w:rsidR="00317EA4" w:rsidRPr="0072670E" w:rsidRDefault="00317EA4" w:rsidP="00F44B81">
      <w:pPr>
        <w:pStyle w:val="ListParagraph"/>
        <w:numPr>
          <w:ilvl w:val="0"/>
          <w:numId w:val="8"/>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Migration Policy Institute (MPI): efectuează cercetări și advocacy pe: migrația de revenire, implicarea diasporei în dezvoltare</w:t>
      </w:r>
    </w:p>
    <w:p w14:paraId="56908435" w14:textId="77777777" w:rsidR="00317EA4" w:rsidRPr="0072670E" w:rsidRDefault="00317EA4" w:rsidP="00F44B81">
      <w:pPr>
        <w:pStyle w:val="ListParagraph"/>
        <w:numPr>
          <w:ilvl w:val="0"/>
          <w:numId w:val="8"/>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Caritas / Terre des Hommes, sprijin la reintegrare socială și economică: sprijin pentru familii, reintegrarea copiilor migranților reîntorși</w:t>
      </w:r>
    </w:p>
    <w:p w14:paraId="012CCA7C" w14:textId="77777777" w:rsidR="00CA253F" w:rsidRPr="0072670E" w:rsidRDefault="00317EA4" w:rsidP="00F44B81">
      <w:pPr>
        <w:pStyle w:val="ListParagraph"/>
        <w:numPr>
          <w:ilvl w:val="0"/>
          <w:numId w:val="8"/>
        </w:numPr>
        <w:spacing w:before="240" w:after="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Diaspora Engagement Initiatives (Europa de Est, Balcani), suport ONG-uri care: facilitează transferul de competențe, conectează diaspora cu mediul de afaceri local, susțin reîntoarcerea circulară</w:t>
      </w:r>
    </w:p>
    <w:p w14:paraId="2E60B9BC" w14:textId="77777777" w:rsidR="00CA253F" w:rsidRPr="007D453B" w:rsidRDefault="008130E6">
      <w:pPr>
        <w:spacing w:before="240"/>
        <w:rPr>
          <w:rFonts w:ascii="Times New Roman" w:eastAsia="Times New Roman" w:hAnsi="Times New Roman" w:cs="Times New Roman"/>
          <w:b/>
          <w:bCs/>
          <w:color w:val="31849B" w:themeColor="accent5" w:themeShade="BF"/>
          <w:sz w:val="24"/>
          <w:szCs w:val="24"/>
        </w:rPr>
      </w:pPr>
      <w:r w:rsidRPr="007D453B">
        <w:rPr>
          <w:rFonts w:ascii="Times New Roman" w:eastAsia="Times New Roman" w:hAnsi="Times New Roman" w:cs="Times New Roman"/>
          <w:b/>
          <w:bCs/>
          <w:color w:val="31849B" w:themeColor="accent5" w:themeShade="BF"/>
          <w:sz w:val="24"/>
          <w:szCs w:val="24"/>
        </w:rPr>
        <w:t xml:space="preserve">5. </w:t>
      </w:r>
      <w:r w:rsidR="0072670E" w:rsidRPr="007D453B">
        <w:rPr>
          <w:rFonts w:ascii="Times New Roman" w:eastAsia="Times New Roman" w:hAnsi="Times New Roman" w:cs="Times New Roman"/>
          <w:b/>
          <w:bCs/>
          <w:color w:val="31849B" w:themeColor="accent5" w:themeShade="BF"/>
          <w:sz w:val="24"/>
          <w:szCs w:val="24"/>
        </w:rPr>
        <w:t>Implementarea politicilor de reintegrare: puncte forte și limite</w:t>
      </w:r>
    </w:p>
    <w:p w14:paraId="4FC22E19" w14:textId="77777777" w:rsidR="0072670E" w:rsidRPr="0072670E" w:rsidRDefault="0072670E" w:rsidP="00F44B81">
      <w:pPr>
        <w:spacing w:before="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Din perspectiva gradului de realizare instituțională, cadrul normativ privind migrația de revenire și reintegrarea migranților este relativ bine dezvoltat, existând un set de politici, strategii și programe dedicate acestui domeniu. Cu toate acestea, implementarea acestora este afectată de o coordonare interinstituțională slabă, de accesibilitatea limitată a serviciilor pentru beneficiari și de absența unui mecanism unic de monitorizare a parcursului migrantului reîntors. Lipsa unei abordări integrate face dificilă urmărirea traseului de reintegrare al beneficiarilor și evaluarea impactului real al intervențiilor publice.</w:t>
      </w:r>
    </w:p>
    <w:p w14:paraId="676F6164" w14:textId="77777777" w:rsidR="0072670E" w:rsidRPr="0072670E" w:rsidRDefault="0072670E" w:rsidP="00F44B81">
      <w:pPr>
        <w:spacing w:before="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lastRenderedPageBreak/>
        <w:t>Analiza corelării politicilor existente cu nevoile reale ale migranților reveniți evidențiază o discrepanță semnificativă între cererea beneficiarilor și oferta instituțională. În special, oferta de locuri de muncă este dominată de salarii relativ joase, în timp ce migranții reîntorși, având experiență profesională acumulată în străinătate, aspiră la venituri mai ridicate și la poziții corespunzătoare calificărilor lor. Deși există eforturi instituționale în direcția recunoașterii competențelor și calificărilor dobândite peste hotare, procesul de evaluare și certificare rămâne lent și birocratic. În plus, serviciile de consiliere individualizată sunt limitate, în mare parte din cauza deficitului de specialiști din instituțiile responsabile, precum Agenția Națională pentru Ocuparea Forței de Muncă (ANOFM).</w:t>
      </w:r>
    </w:p>
    <w:p w14:paraId="36F8157E" w14:textId="77777777" w:rsidR="0072670E" w:rsidRPr="0072670E" w:rsidRDefault="0072670E" w:rsidP="00F44B81">
      <w:pPr>
        <w:spacing w:before="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În ceea ce privește adecvarea politicilor publice, se constată că măsurile destinate diasporei sunt mai eficiente la nivel comunitar decât la nivel individual și nu creează suficiente stimulente pentru revenirea permanentă în țară. În același timp, politicile adresate migranților reîntorși au un caracter preponderent reactiv, fiind concentrate în principal pe integrarea în ocuparea formală, cu o valorificare limitată a experienței profesionale și a competențelor dobândite în străinătate.</w:t>
      </w:r>
    </w:p>
    <w:p w14:paraId="665D4648" w14:textId="77777777" w:rsidR="0072670E" w:rsidRPr="0072670E" w:rsidRDefault="0072670E" w:rsidP="00F44B81">
      <w:pPr>
        <w:spacing w:before="240" w:line="360" w:lineRule="auto"/>
        <w:jc w:val="both"/>
        <w:rPr>
          <w:rFonts w:ascii="Times New Roman" w:eastAsia="Times New Roman" w:hAnsi="Times New Roman" w:cs="Times New Roman"/>
          <w:bCs/>
          <w:sz w:val="24"/>
          <w:szCs w:val="24"/>
        </w:rPr>
      </w:pPr>
      <w:r w:rsidRPr="0072670E">
        <w:rPr>
          <w:rFonts w:ascii="Times New Roman" w:eastAsia="Times New Roman" w:hAnsi="Times New Roman" w:cs="Times New Roman"/>
          <w:bCs/>
          <w:sz w:val="24"/>
          <w:szCs w:val="24"/>
        </w:rPr>
        <w:t>Absența unui sistem integrat de reintegrare generează fragmentarea serviciilor, un nivel scăzut de utilizare a programelor existente și un risc crescut de remigrare. În lipsa unor intervenții coerente și coordonate, revenirea migranților nu se transformă într-o oportunitate sustenabilă de dezvoltare socială și economică, nici pentru beneficiari, nici pentru comunitățile de origine.</w:t>
      </w:r>
    </w:p>
    <w:p w14:paraId="235E2B40" w14:textId="77777777" w:rsidR="00CA253F" w:rsidRPr="007D453B" w:rsidRDefault="008130E6">
      <w:pPr>
        <w:spacing w:before="240"/>
        <w:rPr>
          <w:rFonts w:ascii="Times New Roman" w:eastAsia="Times New Roman" w:hAnsi="Times New Roman" w:cs="Times New Roman"/>
          <w:b/>
          <w:bCs/>
          <w:color w:val="31849B" w:themeColor="accent5" w:themeShade="BF"/>
          <w:sz w:val="24"/>
          <w:szCs w:val="24"/>
        </w:rPr>
      </w:pPr>
      <w:r w:rsidRPr="007D453B">
        <w:rPr>
          <w:rFonts w:ascii="Times New Roman" w:eastAsia="Times New Roman" w:hAnsi="Times New Roman" w:cs="Times New Roman"/>
          <w:b/>
          <w:bCs/>
          <w:color w:val="31849B" w:themeColor="accent5" w:themeShade="BF"/>
          <w:sz w:val="24"/>
          <w:szCs w:val="24"/>
        </w:rPr>
        <w:t xml:space="preserve">6. Recomandările politici </w:t>
      </w:r>
      <w:r w:rsidR="0072670E" w:rsidRPr="007D453B">
        <w:rPr>
          <w:rFonts w:ascii="Times New Roman" w:eastAsia="Times New Roman" w:hAnsi="Times New Roman" w:cs="Times New Roman"/>
          <w:b/>
          <w:bCs/>
          <w:color w:val="31849B" w:themeColor="accent5" w:themeShade="BF"/>
          <w:sz w:val="24"/>
          <w:szCs w:val="24"/>
        </w:rPr>
        <w:t>și propuneri</w:t>
      </w:r>
      <w:r w:rsidRPr="007D453B">
        <w:rPr>
          <w:rFonts w:ascii="Times New Roman" w:eastAsia="Times New Roman" w:hAnsi="Times New Roman" w:cs="Times New Roman"/>
          <w:b/>
          <w:bCs/>
          <w:color w:val="31849B" w:themeColor="accent5" w:themeShade="BF"/>
          <w:sz w:val="24"/>
          <w:szCs w:val="24"/>
        </w:rPr>
        <w:t xml:space="preserve"> de îmbunătățire a politicilor existente</w:t>
      </w:r>
    </w:p>
    <w:p w14:paraId="6EADE9B9" w14:textId="655A676B" w:rsidR="0072670E" w:rsidRDefault="0072670E" w:rsidP="00F44B81">
      <w:pPr>
        <w:pStyle w:val="NormalWeb"/>
        <w:spacing w:line="360" w:lineRule="auto"/>
        <w:jc w:val="both"/>
      </w:pPr>
      <w:r>
        <w:t>Eficientizarea politicilor destinate migranților reîntorși presupune o tranziție clară de la intervenții fragmentare și sectoriale către un model integrat de reintegrare socio-profesională, centrat pe nevoile reale ale beneficiarilor și pe sustenabilitatea revenirii pe termen mediu și lung. În absența unei abordări coerente, intervențiile existente riscă să rămână limitate ca impact și să nu prevină remigrarea.</w:t>
      </w:r>
    </w:p>
    <w:p w14:paraId="20EC563F" w14:textId="77777777" w:rsidR="0072670E" w:rsidRDefault="0072670E" w:rsidP="00F44B81">
      <w:pPr>
        <w:pStyle w:val="NormalWeb"/>
        <w:spacing w:line="360" w:lineRule="auto"/>
        <w:jc w:val="both"/>
      </w:pPr>
      <w:r>
        <w:t xml:space="preserve">În acest sens, se recomandă crearea unui Program Național Integrat de Reintegrare a Migranților Reîntorși, coordonat interinstituțional, cu implicarea Ministerului Muncii și Protecției Sociale, Agenției Naționale pentru Ocuparea Forței de Muncă, Biroului Relații cu Diaspora și autorităților publice locale. Programul ar trebui să prevadă un traseu clar al beneficiarului, de la momentul </w:t>
      </w:r>
      <w:r>
        <w:lastRenderedPageBreak/>
        <w:t>exprimării intenției de revenire până la integrarea socio-economică efectivă, asigurând continuitatea serviciilor și responsabilități bine definite pentru fiecare instituție implicată.</w:t>
      </w:r>
    </w:p>
    <w:p w14:paraId="25B56211" w14:textId="77777777" w:rsidR="0072670E" w:rsidRDefault="0072670E" w:rsidP="00F44B81">
      <w:pPr>
        <w:pStyle w:val="NormalWeb"/>
        <w:spacing w:line="360" w:lineRule="auto"/>
        <w:jc w:val="both"/>
      </w:pPr>
      <w:r>
        <w:t>O altă direcție prioritară vizează introducerea și operaționalizarea mecanismelor de recunoaștere a competențelor informale și non-formale, dobândite prin experiența de muncă în străinătate. Acest proces ar putea fi realizat prin evaluarea practică a competențelor și prin crearea unor centre regionale de validare, capabile să reducă barierele birocratice și să accelereze integrarea pe piața muncii.</w:t>
      </w:r>
    </w:p>
    <w:p w14:paraId="3A7FDBFA" w14:textId="77777777" w:rsidR="0072670E" w:rsidRDefault="0072670E" w:rsidP="00F44B81">
      <w:pPr>
        <w:pStyle w:val="NormalWeb"/>
        <w:spacing w:line="360" w:lineRule="auto"/>
        <w:jc w:val="both"/>
      </w:pPr>
      <w:r>
        <w:t>Extinderea serviciilor de consiliere personalizată reprezintă, de asemenea, o condiție esențială pentru reintegrarea durabilă. Aceste servicii ar trebui să includă orientare profesională, suport psihosocial și mentorat profesional, adaptate profilului individual al migrantului reîntors. În acest context, se recomandă crearea unui consorțiu funcțional între instituții publice, organizații neguvernamentale și furnizori privați de servicii pe piața muncii, care să valorifice competențele migranților reveniți și să asigure complementaritatea intervențiilor.</w:t>
      </w:r>
    </w:p>
    <w:p w14:paraId="5626C954" w14:textId="77777777" w:rsidR="0072670E" w:rsidRDefault="0072670E" w:rsidP="00F44B81">
      <w:pPr>
        <w:pStyle w:val="NormalWeb"/>
        <w:spacing w:line="360" w:lineRule="auto"/>
        <w:jc w:val="both"/>
      </w:pPr>
      <w:r>
        <w:t>Pentru stimularea integrării pe piața muncii, este necesară introducerea unor stimulente fiscale pentru angajatorii care recrutează migranți reîntorși, precum și dezvoltarea unor scheme dedicate de granturi și servicii de consiliere pentru inițiativele economice ale acestora. Astfel de măsuri pot contribui la valorificarea capitalului financiar, uman și social acumulat în migrație.</w:t>
      </w:r>
    </w:p>
    <w:p w14:paraId="29068E9B" w14:textId="77777777" w:rsidR="0072670E" w:rsidRDefault="0072670E" w:rsidP="00F44B81">
      <w:pPr>
        <w:pStyle w:val="NormalWeb"/>
        <w:spacing w:line="360" w:lineRule="auto"/>
        <w:jc w:val="both"/>
      </w:pPr>
      <w:r>
        <w:t>Totodată, se recomandă digitalizarea completă a serviciilor destinate migranților reveniți, prin implementarea unui „ghișeu unic” funcțional, care să permită accesul integrat la informații, servicii și beneficii, reducând fragmentarea instituțională și costurile administrative pentru beneficiari.</w:t>
      </w:r>
    </w:p>
    <w:p w14:paraId="7B99AA25" w14:textId="77777777" w:rsidR="0072670E" w:rsidRDefault="0072670E" w:rsidP="00F44B81">
      <w:pPr>
        <w:pStyle w:val="NormalWeb"/>
        <w:spacing w:line="360" w:lineRule="auto"/>
        <w:jc w:val="both"/>
      </w:pPr>
      <w:r>
        <w:t>Nu în ultimul rând, politicile de reintegrare ar trebui să fie susținute de un sistem clar de monitorizare și evaluare, bazat pe indicatori de impact relevanți, precum rata de retenție în țară, stabilitatea ocupațională și nivelul de satisfacție al beneficiarilor. O astfel de abordare ar permite ajustarea continuă a politicilor și ar contribui la creșterea eficienței intervențiilor publice.</w:t>
      </w:r>
    </w:p>
    <w:p w14:paraId="5121457A" w14:textId="77777777" w:rsidR="00CA253F" w:rsidRDefault="00CA253F" w:rsidP="00F44B81">
      <w:pPr>
        <w:spacing w:before="240" w:after="240" w:line="360" w:lineRule="auto"/>
        <w:jc w:val="both"/>
        <w:rPr>
          <w:rFonts w:ascii="Times New Roman" w:eastAsia="Times New Roman" w:hAnsi="Times New Roman" w:cs="Times New Roman"/>
          <w:b/>
          <w:bCs/>
          <w:sz w:val="28"/>
          <w:szCs w:val="28"/>
        </w:rPr>
      </w:pPr>
    </w:p>
    <w:p w14:paraId="047332DD" w14:textId="320BE06C" w:rsidR="00CA253F" w:rsidRDefault="00CA253F" w:rsidP="00F44B81">
      <w:pPr>
        <w:spacing w:line="360" w:lineRule="auto"/>
        <w:jc w:val="both"/>
        <w:rPr>
          <w:rFonts w:ascii="Times New Roman" w:eastAsia="Times New Roman" w:hAnsi="Times New Roman" w:cs="Times New Roman"/>
          <w:b/>
          <w:bCs/>
          <w:sz w:val="28"/>
          <w:szCs w:val="28"/>
        </w:rPr>
      </w:pPr>
    </w:p>
    <w:p w14:paraId="0CAD51ED" w14:textId="702C9789" w:rsidR="00F44B81" w:rsidRDefault="00F44B81" w:rsidP="00F44B81">
      <w:pPr>
        <w:spacing w:line="360" w:lineRule="auto"/>
        <w:jc w:val="both"/>
        <w:rPr>
          <w:rFonts w:ascii="Times New Roman" w:eastAsia="Times New Roman" w:hAnsi="Times New Roman" w:cs="Times New Roman"/>
          <w:b/>
          <w:bCs/>
          <w:sz w:val="28"/>
          <w:szCs w:val="28"/>
        </w:rPr>
      </w:pPr>
    </w:p>
    <w:p w14:paraId="79BE4393" w14:textId="13335252" w:rsidR="00F44B81" w:rsidRDefault="00F44B81" w:rsidP="00F44B81">
      <w:pPr>
        <w:spacing w:line="360" w:lineRule="auto"/>
        <w:jc w:val="both"/>
        <w:rPr>
          <w:rFonts w:ascii="Times New Roman" w:eastAsia="Times New Roman" w:hAnsi="Times New Roman" w:cs="Times New Roman"/>
          <w:b/>
          <w:bCs/>
          <w:sz w:val="28"/>
          <w:szCs w:val="28"/>
        </w:rPr>
      </w:pPr>
    </w:p>
    <w:p w14:paraId="1AFF4CC5" w14:textId="77777777" w:rsidR="007D453B" w:rsidRDefault="007D453B" w:rsidP="00F44B81">
      <w:pPr>
        <w:spacing w:line="360" w:lineRule="auto"/>
        <w:jc w:val="both"/>
        <w:rPr>
          <w:rFonts w:ascii="Times New Roman" w:eastAsia="Times New Roman" w:hAnsi="Times New Roman" w:cs="Times New Roman"/>
          <w:b/>
          <w:bCs/>
          <w:sz w:val="28"/>
          <w:szCs w:val="28"/>
        </w:rPr>
      </w:pPr>
    </w:p>
    <w:p w14:paraId="1EE2BEC0" w14:textId="77777777" w:rsidR="007D453B" w:rsidRDefault="007D453B" w:rsidP="00F44B81">
      <w:pPr>
        <w:spacing w:line="360" w:lineRule="auto"/>
        <w:jc w:val="both"/>
        <w:rPr>
          <w:rFonts w:ascii="Times New Roman" w:eastAsia="Times New Roman" w:hAnsi="Times New Roman" w:cs="Times New Roman"/>
          <w:b/>
          <w:bCs/>
          <w:sz w:val="28"/>
          <w:szCs w:val="28"/>
        </w:rPr>
      </w:pPr>
    </w:p>
    <w:p w14:paraId="09A0434A" w14:textId="77777777" w:rsidR="007D453B" w:rsidRDefault="007D453B" w:rsidP="00F44B81">
      <w:pPr>
        <w:spacing w:line="360" w:lineRule="auto"/>
        <w:jc w:val="both"/>
        <w:rPr>
          <w:rFonts w:ascii="Times New Roman" w:eastAsia="Times New Roman" w:hAnsi="Times New Roman" w:cs="Times New Roman"/>
          <w:b/>
          <w:bCs/>
          <w:sz w:val="28"/>
          <w:szCs w:val="28"/>
        </w:rPr>
      </w:pPr>
    </w:p>
    <w:p w14:paraId="57BBDB74" w14:textId="77777777" w:rsidR="007D453B" w:rsidRDefault="007D453B" w:rsidP="00F44B81">
      <w:pPr>
        <w:spacing w:line="360" w:lineRule="auto"/>
        <w:jc w:val="both"/>
        <w:rPr>
          <w:rFonts w:ascii="Times New Roman" w:eastAsia="Times New Roman" w:hAnsi="Times New Roman" w:cs="Times New Roman"/>
          <w:b/>
          <w:bCs/>
          <w:sz w:val="28"/>
          <w:szCs w:val="28"/>
        </w:rPr>
      </w:pPr>
    </w:p>
    <w:p w14:paraId="6E9B9D1F" w14:textId="77777777" w:rsidR="007D453B" w:rsidRDefault="007D453B" w:rsidP="00F44B81">
      <w:pPr>
        <w:spacing w:line="360" w:lineRule="auto"/>
        <w:jc w:val="both"/>
        <w:rPr>
          <w:rFonts w:ascii="Times New Roman" w:eastAsia="Times New Roman" w:hAnsi="Times New Roman" w:cs="Times New Roman"/>
          <w:b/>
          <w:bCs/>
          <w:sz w:val="28"/>
          <w:szCs w:val="28"/>
        </w:rPr>
      </w:pPr>
    </w:p>
    <w:p w14:paraId="6D399BAE" w14:textId="77777777" w:rsidR="007D453B" w:rsidRDefault="007D453B" w:rsidP="00F44B81">
      <w:pPr>
        <w:spacing w:line="360" w:lineRule="auto"/>
        <w:jc w:val="both"/>
        <w:rPr>
          <w:rFonts w:ascii="Times New Roman" w:eastAsia="Times New Roman" w:hAnsi="Times New Roman" w:cs="Times New Roman"/>
          <w:b/>
          <w:bCs/>
          <w:sz w:val="28"/>
          <w:szCs w:val="28"/>
        </w:rPr>
      </w:pPr>
    </w:p>
    <w:p w14:paraId="345727D8" w14:textId="77777777" w:rsidR="007D453B" w:rsidRDefault="007D453B" w:rsidP="00F44B81">
      <w:pPr>
        <w:spacing w:line="360" w:lineRule="auto"/>
        <w:jc w:val="both"/>
        <w:rPr>
          <w:rFonts w:ascii="Times New Roman" w:eastAsia="Times New Roman" w:hAnsi="Times New Roman" w:cs="Times New Roman"/>
          <w:b/>
          <w:bCs/>
          <w:sz w:val="28"/>
          <w:szCs w:val="28"/>
        </w:rPr>
      </w:pPr>
    </w:p>
    <w:p w14:paraId="32E9C744" w14:textId="4D8E4D60" w:rsidR="00F44B81" w:rsidRDefault="00F44B81" w:rsidP="00F44B81">
      <w:pPr>
        <w:spacing w:line="360" w:lineRule="auto"/>
        <w:jc w:val="both"/>
        <w:rPr>
          <w:rFonts w:ascii="Times New Roman" w:eastAsia="Times New Roman" w:hAnsi="Times New Roman" w:cs="Times New Roman"/>
          <w:b/>
          <w:bCs/>
          <w:sz w:val="28"/>
          <w:szCs w:val="28"/>
        </w:rPr>
      </w:pPr>
    </w:p>
    <w:p w14:paraId="7627F654" w14:textId="7621E55B" w:rsidR="00F44B81" w:rsidRDefault="00F44B81" w:rsidP="00F44B81">
      <w:pPr>
        <w:spacing w:line="360" w:lineRule="auto"/>
        <w:jc w:val="both"/>
        <w:rPr>
          <w:rFonts w:ascii="Times New Roman" w:eastAsia="Times New Roman" w:hAnsi="Times New Roman" w:cs="Times New Roman"/>
          <w:b/>
          <w:bCs/>
          <w:sz w:val="28"/>
          <w:szCs w:val="28"/>
        </w:rPr>
      </w:pPr>
    </w:p>
    <w:sdt>
      <w:sdtPr>
        <w:rPr>
          <w:sz w:val="22"/>
          <w:szCs w:val="22"/>
        </w:rPr>
        <w:id w:val="-38823201"/>
        <w:docPartObj>
          <w:docPartGallery w:val="Bibliographies"/>
          <w:docPartUnique/>
        </w:docPartObj>
      </w:sdtPr>
      <w:sdtContent>
        <w:p w14:paraId="14ACB6EB" w14:textId="2D5531DF" w:rsidR="00F44B81" w:rsidRPr="00F44B81" w:rsidRDefault="00F44B81">
          <w:pPr>
            <w:pStyle w:val="Heading1"/>
            <w:rPr>
              <w:rFonts w:ascii="Times New Roman" w:hAnsi="Times New Roman" w:cs="Times New Roman"/>
              <w:b/>
              <w:sz w:val="24"/>
              <w:szCs w:val="24"/>
            </w:rPr>
          </w:pPr>
          <w:r w:rsidRPr="00F44B81">
            <w:rPr>
              <w:rFonts w:ascii="Times New Roman" w:hAnsi="Times New Roman" w:cs="Times New Roman"/>
              <w:b/>
              <w:sz w:val="24"/>
              <w:szCs w:val="24"/>
            </w:rPr>
            <w:t>Referințe bibliografice</w:t>
          </w:r>
        </w:p>
        <w:sdt>
          <w:sdtPr>
            <w:rPr>
              <w:rFonts w:ascii="Arial" w:eastAsia="Arial" w:hAnsi="Arial" w:cs="Arial"/>
              <w:sz w:val="22"/>
              <w:szCs w:val="22"/>
              <w:lang w:val="ro"/>
            </w:rPr>
            <w:id w:val="-573587230"/>
            <w:bibliography/>
          </w:sdtPr>
          <w:sdtContent>
            <w:p w14:paraId="27D722C7" w14:textId="77777777" w:rsidR="00842828" w:rsidRPr="00842828" w:rsidRDefault="00842828" w:rsidP="00C845B6">
              <w:pPr>
                <w:pStyle w:val="NormalWeb"/>
                <w:jc w:val="both"/>
              </w:pPr>
              <w:r w:rsidRPr="00842828">
                <w:rPr>
                  <w:rStyle w:val="Strong"/>
                  <w:b w:val="0"/>
                </w:rPr>
                <w:t>Battistella, G.</w:t>
              </w:r>
              <w:r w:rsidRPr="00842828">
                <w:t xml:space="preserve"> (2018). </w:t>
              </w:r>
              <w:r w:rsidRPr="00842828">
                <w:rPr>
                  <w:rStyle w:val="Emphasis"/>
                </w:rPr>
                <w:t>Return migration: A conceptual and policy framework</w:t>
              </w:r>
              <w:r w:rsidRPr="00842828">
                <w:t xml:space="preserve">. </w:t>
              </w:r>
              <w:r w:rsidRPr="00842828">
                <w:rPr>
                  <w:rStyle w:val="Emphasis"/>
                </w:rPr>
                <w:t>International Migration Policy Report: Perspectives on the Content and Implementation of the Global Compact for Safe, Orderly and Regular Migration</w:t>
              </w:r>
              <w:r w:rsidRPr="00842828">
                <w:t>, 3–14.</w:t>
              </w:r>
            </w:p>
            <w:p w14:paraId="035E023D" w14:textId="77777777" w:rsidR="00842828" w:rsidRPr="00842828" w:rsidRDefault="00842828" w:rsidP="00C845B6">
              <w:pPr>
                <w:pStyle w:val="NormalWeb"/>
                <w:jc w:val="both"/>
              </w:pPr>
              <w:r w:rsidRPr="00842828">
                <w:rPr>
                  <w:rStyle w:val="Strong"/>
                  <w:b w:val="0"/>
                </w:rPr>
                <w:t>Guvernul Republicii Moldova.</w:t>
              </w:r>
              <w:r w:rsidRPr="00842828">
                <w:t xml:space="preserve"> (2018, 26 decembrie). </w:t>
              </w:r>
              <w:r w:rsidRPr="00842828">
                <w:rPr>
                  <w:rStyle w:val="Emphasis"/>
                </w:rPr>
                <w:t>Hotărâre nr. 1276 pentru aprobarea procedurilor privind accesul la măsurile de ocupare a forței de muncă</w:t>
              </w:r>
              <w:r w:rsidRPr="00842828">
                <w:t>. Monitorul Oficial al Republicii Moldova, nr. 38–47, art. 66.</w:t>
              </w:r>
            </w:p>
            <w:p w14:paraId="48889EC0" w14:textId="77777777" w:rsidR="00842828" w:rsidRPr="00842828" w:rsidRDefault="00842828" w:rsidP="00C845B6">
              <w:pPr>
                <w:pStyle w:val="NormalWeb"/>
                <w:jc w:val="both"/>
              </w:pPr>
              <w:r w:rsidRPr="00842828">
                <w:rPr>
                  <w:rStyle w:val="Strong"/>
                  <w:b w:val="0"/>
                </w:rPr>
                <w:t>Guvernul Republicii Moldova.</w:t>
              </w:r>
              <w:r w:rsidRPr="00842828">
                <w:t xml:space="preserve"> (2023, 21 decembrie). </w:t>
              </w:r>
              <w:r w:rsidRPr="00842828">
                <w:rPr>
                  <w:rStyle w:val="Emphasis"/>
                </w:rPr>
                <w:t>Hotărâre nr. HG1032/2023 cu privire la aprobarea Programului național „Diaspora” pentru anii 2024–2028</w:t>
              </w:r>
              <w:r w:rsidRPr="00842828">
                <w:t>. Monitorul Oficial al Republicii Moldova, nr. 61–63, art. 122.</w:t>
              </w:r>
            </w:p>
            <w:p w14:paraId="3C3EF541" w14:textId="77777777" w:rsidR="00842828" w:rsidRPr="00842828" w:rsidRDefault="00842828" w:rsidP="00C845B6">
              <w:pPr>
                <w:pStyle w:val="NormalWeb"/>
                <w:jc w:val="both"/>
              </w:pPr>
              <w:r w:rsidRPr="00842828">
                <w:rPr>
                  <w:rStyle w:val="Strong"/>
                  <w:b w:val="0"/>
                </w:rPr>
                <w:t>Guvernul Republicii Moldova.</w:t>
              </w:r>
              <w:r w:rsidRPr="00842828">
                <w:t xml:space="preserve"> (2024). </w:t>
              </w:r>
              <w:r w:rsidRPr="00842828">
                <w:rPr>
                  <w:rStyle w:val="Emphasis"/>
                </w:rPr>
                <w:t>Raport de progres privind implementarea Agendei 2030 pentru dezvoltare durabilă în Republica Moldova</w:t>
              </w:r>
              <w:r w:rsidRPr="00842828">
                <w:t xml:space="preserve">. </w:t>
              </w:r>
              <w:hyperlink r:id="rId18" w:tgtFrame="_new" w:history="1">
                <w:r w:rsidRPr="00842828">
                  <w:rPr>
                    <w:rStyle w:val="Hyperlink"/>
                  </w:rPr>
                  <w:t>https://gov.md/sites/default/files/Filepdf/Raport%20ODD%202024.pdf</w:t>
                </w:r>
              </w:hyperlink>
            </w:p>
            <w:p w14:paraId="56539FB8" w14:textId="77777777" w:rsidR="00842828" w:rsidRPr="00842828" w:rsidRDefault="00842828" w:rsidP="00C845B6">
              <w:pPr>
                <w:pStyle w:val="NormalWeb"/>
                <w:jc w:val="both"/>
              </w:pPr>
              <w:r w:rsidRPr="00842828">
                <w:rPr>
                  <w:rStyle w:val="Strong"/>
                  <w:b w:val="0"/>
                </w:rPr>
                <w:t>Guvernul Republicii Moldova.</w:t>
              </w:r>
              <w:r w:rsidRPr="00842828">
                <w:t xml:space="preserve"> (2025). </w:t>
              </w:r>
              <w:r w:rsidRPr="00842828">
                <w:rPr>
                  <w:rStyle w:val="Emphasis"/>
                </w:rPr>
                <w:t>Raport cu privire la activitatea Guvernului în anul 2024</w:t>
              </w:r>
              <w:r w:rsidRPr="00842828">
                <w:t xml:space="preserve"> (Raport). </w:t>
              </w:r>
              <w:hyperlink r:id="rId19" w:tgtFrame="_new" w:history="1">
                <w:r w:rsidRPr="00842828">
                  <w:rPr>
                    <w:rStyle w:val="Hyperlink"/>
                  </w:rPr>
                  <w:t>https://gov.md/sites/default/files/media/documents/2025-04/Raportul%20cu%20privire%20la%20activitatea%20Guvernului%202024.pdf</w:t>
                </w:r>
              </w:hyperlink>
            </w:p>
            <w:p w14:paraId="61233F44" w14:textId="19ECC7AA" w:rsidR="00842828" w:rsidRPr="00842828" w:rsidRDefault="00842828" w:rsidP="00C845B6">
              <w:pPr>
                <w:pStyle w:val="NormalWeb"/>
                <w:jc w:val="both"/>
              </w:pPr>
              <w:r w:rsidRPr="00842828">
                <w:rPr>
                  <w:rStyle w:val="Strong"/>
                  <w:b w:val="0"/>
                </w:rPr>
                <w:t>Guvernul Republicii Moldova, Biroul Relații cu Diaspora.</w:t>
              </w:r>
              <w:r w:rsidRPr="00842828">
                <w:t xml:space="preserve"> </w:t>
              </w:r>
              <w:r w:rsidRPr="00842828">
                <w:rPr>
                  <w:rStyle w:val="Emphasis"/>
                </w:rPr>
                <w:t>Ghid pentru suport la revenire</w:t>
              </w:r>
              <w:r w:rsidRPr="00842828">
                <w:t xml:space="preserve">. BRD. </w:t>
              </w:r>
              <w:hyperlink r:id="rId20" w:tgtFrame="_new" w:history="1">
                <w:r w:rsidRPr="00842828">
                  <w:rPr>
                    <w:rStyle w:val="Hyperlink"/>
                  </w:rPr>
                  <w:t>https://brd.gov.md/revenire/ghid-pentru-suport-la-revenire/</w:t>
                </w:r>
              </w:hyperlink>
            </w:p>
            <w:p w14:paraId="203F0359" w14:textId="2BB48DF7" w:rsidR="00842828" w:rsidRPr="00842828" w:rsidRDefault="00842828" w:rsidP="00C845B6">
              <w:pPr>
                <w:pStyle w:val="NormalWeb"/>
                <w:jc w:val="both"/>
              </w:pPr>
              <w:r w:rsidRPr="00842828">
                <w:rPr>
                  <w:rStyle w:val="Strong"/>
                  <w:b w:val="0"/>
                </w:rPr>
                <w:lastRenderedPageBreak/>
                <w:t>Guvernul Republicii Moldova, Biroul Relații cu Diaspora.</w:t>
              </w:r>
              <w:r w:rsidRPr="00842828">
                <w:t xml:space="preserve"> </w:t>
              </w:r>
              <w:r w:rsidRPr="00842828">
                <w:rPr>
                  <w:rStyle w:val="Emphasis"/>
                </w:rPr>
                <w:t>Susținerea activităților culturale și educaționale în Diasporă</w:t>
              </w:r>
              <w:r w:rsidRPr="00842828">
                <w:t xml:space="preserve">. BRD. </w:t>
              </w:r>
              <w:hyperlink r:id="rId21" w:tgtFrame="_new" w:history="1">
                <w:r w:rsidRPr="00842828">
                  <w:rPr>
                    <w:rStyle w:val="Hyperlink"/>
                  </w:rPr>
                  <w:t>https://brd.gov.md/rezultate/sustinerea-activitatilor-culturale-si-educationale-in-diaspora/</w:t>
                </w:r>
              </w:hyperlink>
            </w:p>
            <w:p w14:paraId="2C703989" w14:textId="48B701F7" w:rsidR="00842828" w:rsidRPr="00842828" w:rsidRDefault="00842828" w:rsidP="00C845B6">
              <w:pPr>
                <w:pStyle w:val="NormalWeb"/>
                <w:jc w:val="both"/>
              </w:pPr>
              <w:r w:rsidRPr="00842828">
                <w:rPr>
                  <w:rStyle w:val="Strong"/>
                  <w:b w:val="0"/>
                </w:rPr>
                <w:t>Guvernul Republicii Moldova, Biroul Relații cu Diaspora</w:t>
              </w:r>
              <w:r w:rsidRPr="00842828">
                <w:rPr>
                  <w:rStyle w:val="Strong"/>
                </w:rPr>
                <w:t>.</w:t>
              </w:r>
              <w:r w:rsidRPr="00842828">
                <w:t xml:space="preserve"> </w:t>
              </w:r>
              <w:r w:rsidRPr="00842828">
                <w:rPr>
                  <w:rStyle w:val="Emphasis"/>
                </w:rPr>
                <w:t>Susținere a revenirii de scurtă durată a membrilor diasporei cu experiență profesională avansată</w:t>
              </w:r>
              <w:r w:rsidRPr="00842828">
                <w:t xml:space="preserve">. BRD. </w:t>
              </w:r>
              <w:hyperlink r:id="rId22" w:tgtFrame="_new" w:history="1">
                <w:r w:rsidRPr="00842828">
                  <w:rPr>
                    <w:rStyle w:val="Hyperlink"/>
                  </w:rPr>
                  <w:t>https://brd.gov.md/rezultate/sustinere-a-revenirii-de-scurta-durata-a-membrilor-diasporei-cu-experienta-profesionala-avansata/</w:t>
                </w:r>
              </w:hyperlink>
            </w:p>
            <w:p w14:paraId="685C0C31" w14:textId="77777777" w:rsidR="00842828" w:rsidRPr="00842828" w:rsidRDefault="00842828" w:rsidP="00C845B6">
              <w:pPr>
                <w:pStyle w:val="NormalWeb"/>
                <w:jc w:val="both"/>
              </w:pPr>
              <w:r w:rsidRPr="00842828">
                <w:rPr>
                  <w:rStyle w:val="Strong"/>
                  <w:b w:val="0"/>
                </w:rPr>
                <w:t>Guvernul Republicii Moldova, Biroul Relații cu Diaspora.</w:t>
              </w:r>
              <w:r w:rsidRPr="00842828">
                <w:t xml:space="preserve"> (2025). </w:t>
              </w:r>
              <w:r w:rsidRPr="00842828">
                <w:rPr>
                  <w:rStyle w:val="Emphasis"/>
                </w:rPr>
                <w:t>Planul de acțiuni al Biroului relații cu diaspora pentru anul 2025</w:t>
              </w:r>
              <w:r w:rsidRPr="00842828">
                <w:t xml:space="preserve">. </w:t>
              </w:r>
              <w:hyperlink r:id="rId23" w:tgtFrame="_new" w:history="1">
                <w:r w:rsidRPr="00842828">
                  <w:rPr>
                    <w:rStyle w:val="Hyperlink"/>
                  </w:rPr>
                  <w:t>https://brd.gov.md/wp-content/uploads/2025/02/Plan-de-actiuni_brd_2025.pdf</w:t>
                </w:r>
              </w:hyperlink>
            </w:p>
            <w:p w14:paraId="2E4CA252" w14:textId="77777777" w:rsidR="00842828" w:rsidRPr="00842828" w:rsidRDefault="00842828" w:rsidP="00C845B6">
              <w:pPr>
                <w:pStyle w:val="NormalWeb"/>
                <w:jc w:val="both"/>
              </w:pPr>
              <w:r w:rsidRPr="00842828">
                <w:rPr>
                  <w:rStyle w:val="Strong"/>
                  <w:b w:val="0"/>
                </w:rPr>
                <w:t>Guvernul Republicii Moldova, Biroul Relații cu Diaspora.</w:t>
              </w:r>
              <w:r w:rsidRPr="00842828">
                <w:t xml:space="preserve"> (2025, 11 martie). </w:t>
              </w:r>
              <w:r w:rsidRPr="00842828">
                <w:rPr>
                  <w:rStyle w:val="Emphasis"/>
                </w:rPr>
                <w:t>Programul Diaspora Acasă Reușește “DAR 1+3”</w:t>
              </w:r>
              <w:r w:rsidRPr="00842828">
                <w:t xml:space="preserve">. </w:t>
              </w:r>
              <w:hyperlink r:id="rId24" w:tgtFrame="_new" w:history="1">
                <w:r w:rsidRPr="00842828">
                  <w:rPr>
                    <w:rStyle w:val="Hyperlink"/>
                  </w:rPr>
                  <w:t>https://brd.gov.md/rezultate/programul-diaspora-acasa-reuseste-dar-13/</w:t>
                </w:r>
              </w:hyperlink>
            </w:p>
            <w:p w14:paraId="4CFBFA8E" w14:textId="77777777" w:rsidR="00842828" w:rsidRPr="00842828" w:rsidRDefault="00842828" w:rsidP="00C845B6">
              <w:pPr>
                <w:pStyle w:val="NormalWeb"/>
                <w:jc w:val="both"/>
              </w:pPr>
              <w:r w:rsidRPr="00842828">
                <w:rPr>
                  <w:rStyle w:val="Strong"/>
                  <w:b w:val="0"/>
                </w:rPr>
                <w:t>Inspectoratul General pentru Migrație al Ministerului Afacerilor Interne al Republicii Moldova.</w:t>
              </w:r>
              <w:r w:rsidRPr="00842828">
                <w:t xml:space="preserve"> (2024). </w:t>
              </w:r>
              <w:r w:rsidRPr="00842828">
                <w:rPr>
                  <w:rStyle w:val="Emphasis"/>
                </w:rPr>
                <w:t>Compendiu statistic al Profilului Migrațional Extins al Republicii Moldova pentru anii 2021–2023</w:t>
              </w:r>
              <w:r w:rsidRPr="00842828">
                <w:t xml:space="preserve">. </w:t>
              </w:r>
              <w:hyperlink r:id="rId25" w:tgtFrame="_new" w:history="1">
                <w:r w:rsidRPr="00842828">
                  <w:rPr>
                    <w:rStyle w:val="Hyperlink"/>
                  </w:rPr>
                  <w:t>https://igm.gov.md/wp-content/uploads/2024/12/Compendiul-Statistic-al-PME_-ed-2024.pdf</w:t>
                </w:r>
              </w:hyperlink>
            </w:p>
            <w:p w14:paraId="79C80076" w14:textId="77777777" w:rsidR="00842828" w:rsidRDefault="00842828" w:rsidP="00C845B6">
              <w:pPr>
                <w:pStyle w:val="NormalWeb"/>
                <w:jc w:val="both"/>
                <w:rPr>
                  <w:rStyle w:val="Hyperlink"/>
                </w:rPr>
              </w:pPr>
              <w:r w:rsidRPr="00842828">
                <w:rPr>
                  <w:rStyle w:val="Strong"/>
                  <w:b w:val="0"/>
                </w:rPr>
                <w:t>International Organization for Migration.</w:t>
              </w:r>
              <w:r w:rsidRPr="00842828">
                <w:t xml:space="preserve"> (2018). </w:t>
              </w:r>
              <w:r w:rsidRPr="00842828">
                <w:rPr>
                  <w:rStyle w:val="Emphasis"/>
                </w:rPr>
                <w:t>Global Compact for Safe, Orderly and Regular Migration</w:t>
              </w:r>
              <w:r w:rsidRPr="00842828">
                <w:t xml:space="preserve"> (adopted 19 December 2018). United Nations. </w:t>
              </w:r>
              <w:hyperlink r:id="rId26" w:tgtFrame="_new" w:history="1">
                <w:r w:rsidRPr="00842828">
                  <w:rPr>
                    <w:rStyle w:val="Hyperlink"/>
                  </w:rPr>
                  <w:t>https://www.iom.int/global-compact-migration</w:t>
                </w:r>
              </w:hyperlink>
            </w:p>
            <w:p w14:paraId="30CD735A" w14:textId="67596E9E" w:rsidR="00422400" w:rsidRPr="00842828" w:rsidRDefault="00422400" w:rsidP="00C845B6">
              <w:pPr>
                <w:pStyle w:val="NormalWeb"/>
                <w:jc w:val="both"/>
              </w:pPr>
              <w:r w:rsidRPr="00422400">
                <w:rPr>
                  <w:lang w:val="ro"/>
                </w:rPr>
                <w:t>World Migration Report 2024</w:t>
              </w:r>
              <w:r>
                <w:rPr>
                  <w:lang w:val="ro"/>
                </w:rPr>
                <w:t xml:space="preserve">, </w:t>
              </w:r>
              <w:r w:rsidRPr="00422400">
                <w:rPr>
                  <w:lang w:val="ro"/>
                </w:rPr>
                <w:t>International Organization for Migration</w:t>
              </w:r>
              <w:r>
                <w:rPr>
                  <w:lang w:val="ro"/>
                </w:rPr>
                <w:t xml:space="preserve">, </w:t>
              </w:r>
              <w:r w:rsidRPr="00422400">
                <w:rPr>
                  <w:lang w:val="ro"/>
                </w:rPr>
                <w:t>ISSN 1561-5502</w:t>
              </w:r>
              <w:r>
                <w:rPr>
                  <w:lang w:val="ro"/>
                </w:rPr>
                <w:t>,</w:t>
              </w:r>
              <w:r w:rsidRPr="00422400">
                <w:rPr>
                  <w:lang w:val="ro"/>
                </w:rPr>
                <w:t xml:space="preserve"> ISBN 978-92-9268-598-0 (PDF)</w:t>
              </w:r>
              <w:r>
                <w:rPr>
                  <w:lang w:val="ro"/>
                </w:rPr>
                <w:t xml:space="preserve">, </w:t>
              </w:r>
              <w:hyperlink r:id="rId27" w:history="1">
                <w:r w:rsidRPr="00422400">
                  <w:rPr>
                    <w:rStyle w:val="Hyperlink"/>
                    <w:lang w:val="ro"/>
                  </w:rPr>
                  <w:t>pub2023-047-l-world-migration-report-2024_11.pdf</w:t>
                </w:r>
              </w:hyperlink>
            </w:p>
            <w:p w14:paraId="08C697C5" w14:textId="77777777" w:rsidR="00842828" w:rsidRPr="00842828" w:rsidRDefault="00842828" w:rsidP="00C845B6">
              <w:pPr>
                <w:pStyle w:val="NormalWeb"/>
                <w:jc w:val="both"/>
              </w:pPr>
              <w:r w:rsidRPr="00842828">
                <w:rPr>
                  <w:rStyle w:val="Strong"/>
                  <w:b w:val="0"/>
                </w:rPr>
                <w:t>Națiunile Unite în Moldova.</w:t>
              </w:r>
              <w:r w:rsidRPr="00842828">
                <w:t xml:space="preserve"> (2022, 23 decembrie). </w:t>
              </w:r>
              <w:r w:rsidRPr="00842828">
                <w:rPr>
                  <w:rStyle w:val="Emphasis"/>
                </w:rPr>
                <w:t>Cadrul de cooperare pentru dezvoltare durabilă al Organizației Națiunilor Unite 2023–2027, Republica Moldova</w:t>
              </w:r>
              <w:r w:rsidRPr="00842828">
                <w:t xml:space="preserve">. UN Moldova. </w:t>
              </w:r>
              <w:hyperlink r:id="rId28" w:tgtFrame="_new" w:history="1">
                <w:r w:rsidRPr="00842828">
                  <w:rPr>
                    <w:rStyle w:val="Hyperlink"/>
                  </w:rPr>
                  <w:t>https://moldova.un.org/ro/213110-cadrul-de-cooperare-pentru-dezvoltare-durabil%C4%83-al-organiza%C8%9Biei-na%C8%9Biunilor-unite-2023-2027</w:t>
                </w:r>
              </w:hyperlink>
            </w:p>
            <w:p w14:paraId="45B91F6E" w14:textId="77777777" w:rsidR="00842828" w:rsidRPr="00842828" w:rsidRDefault="00842828" w:rsidP="00C845B6">
              <w:pPr>
                <w:pStyle w:val="NormalWeb"/>
                <w:jc w:val="both"/>
              </w:pPr>
              <w:r w:rsidRPr="00842828">
                <w:rPr>
                  <w:rStyle w:val="Strong"/>
                  <w:b w:val="0"/>
                </w:rPr>
                <w:t>Națiunile Unite în Moldova.</w:t>
              </w:r>
              <w:r w:rsidRPr="00842828">
                <w:t xml:space="preserve"> (2023, 19 septembrie). </w:t>
              </w:r>
              <w:r w:rsidRPr="00842828">
                <w:rPr>
                  <w:rStyle w:val="Emphasis"/>
                </w:rPr>
                <w:t>Raport de progres privind implementarea Agendei 2030 pentru dezvoltare durabilă în Republica Moldova</w:t>
              </w:r>
              <w:r w:rsidRPr="00842828">
                <w:t xml:space="preserve"> (Publicație). UN Moldova. </w:t>
              </w:r>
              <w:hyperlink r:id="rId29" w:tgtFrame="_new" w:history="1">
                <w:r w:rsidRPr="00842828">
                  <w:rPr>
                    <w:rStyle w:val="Hyperlink"/>
                  </w:rPr>
                  <w:t>https://moldova.un.org/ro/246492-raport-de-progres-privind-implementarea-agendei-2030-pentru-dezvoltare-durabil%C4%83-%C3%AEn-republica</w:t>
                </w:r>
              </w:hyperlink>
            </w:p>
            <w:p w14:paraId="69F7A802" w14:textId="7F324BD7" w:rsidR="00842828" w:rsidRPr="00842828" w:rsidRDefault="00842828" w:rsidP="00C845B6">
              <w:pPr>
                <w:pStyle w:val="NormalWeb"/>
                <w:jc w:val="both"/>
              </w:pPr>
              <w:r w:rsidRPr="00842828">
                <w:rPr>
                  <w:rStyle w:val="Strong"/>
                  <w:b w:val="0"/>
                </w:rPr>
                <w:t>Organizația pentru Dezvoltarea Antreprenoriatului (ODA).</w:t>
              </w:r>
              <w:r w:rsidRPr="00842828">
                <w:t xml:space="preserve"> </w:t>
              </w:r>
              <w:r w:rsidRPr="00842828">
                <w:rPr>
                  <w:rStyle w:val="Emphasis"/>
                </w:rPr>
                <w:t>Programul PARE 1+2</w:t>
              </w:r>
              <w:r w:rsidRPr="00842828">
                <w:t xml:space="preserve">. </w:t>
              </w:r>
              <w:hyperlink r:id="rId30" w:tgtFrame="_new" w:history="1">
                <w:r w:rsidRPr="00842828">
                  <w:rPr>
                    <w:rStyle w:val="Hyperlink"/>
                  </w:rPr>
                  <w:t>https://www.oda.md/ro/pare1</w:t>
                </w:r>
              </w:hyperlink>
            </w:p>
            <w:p w14:paraId="5CF547E4" w14:textId="77777777" w:rsidR="00842828" w:rsidRPr="00842828" w:rsidRDefault="00842828" w:rsidP="00C845B6">
              <w:pPr>
                <w:pStyle w:val="NormalWeb"/>
                <w:jc w:val="both"/>
              </w:pPr>
              <w:r w:rsidRPr="00C845B6">
                <w:rPr>
                  <w:rStyle w:val="Strong"/>
                  <w:b w:val="0"/>
                </w:rPr>
                <w:t>Parlamentul Republicii Moldova.</w:t>
              </w:r>
              <w:r w:rsidRPr="00842828">
                <w:t xml:space="preserve"> (2018, 14 iunie). </w:t>
              </w:r>
              <w:r w:rsidRPr="00842828">
                <w:rPr>
                  <w:rStyle w:val="Emphasis"/>
                </w:rPr>
                <w:t>Lege nr. 105 cu privire la promovarea ocupării forței de muncă și asigurarea de șomaj</w:t>
              </w:r>
              <w:r w:rsidRPr="00842828">
                <w:t>. Monitorul Oficial al Republicii Moldova, nr. 295–308, art. 448.</w:t>
              </w:r>
            </w:p>
            <w:p w14:paraId="48D3D6A3" w14:textId="77777777" w:rsidR="00842828" w:rsidRPr="00842828" w:rsidRDefault="00842828" w:rsidP="00C845B6">
              <w:pPr>
                <w:pStyle w:val="NormalWeb"/>
                <w:jc w:val="both"/>
              </w:pPr>
              <w:r w:rsidRPr="00C845B6">
                <w:rPr>
                  <w:rStyle w:val="Strong"/>
                  <w:b w:val="0"/>
                </w:rPr>
                <w:lastRenderedPageBreak/>
                <w:t>Președintele Republicii Moldova.</w:t>
              </w:r>
              <w:r w:rsidRPr="00842828">
                <w:t xml:space="preserve"> (2000, 14 august). </w:t>
              </w:r>
              <w:r w:rsidRPr="00842828">
                <w:rPr>
                  <w:rStyle w:val="Emphasis"/>
                </w:rPr>
                <w:t>Decret nr. 1604 privind promulgarea Legii pentru completarea anexei nr. 1 la Legea cu privire la Programul de privatizare pentru anii 1997–1998</w:t>
              </w:r>
              <w:r w:rsidRPr="00842828">
                <w:t>. Monitorul Oficial al Republicii Moldova, nr. 106, art. 778.</w:t>
              </w:r>
            </w:p>
            <w:p w14:paraId="01DDF8C5" w14:textId="77777777" w:rsidR="00842828" w:rsidRPr="00842828" w:rsidRDefault="00842828" w:rsidP="00C845B6">
              <w:pPr>
                <w:pStyle w:val="NormalWeb"/>
                <w:jc w:val="both"/>
              </w:pPr>
              <w:r w:rsidRPr="00C845B6">
                <w:rPr>
                  <w:rStyle w:val="Strong"/>
                  <w:b w:val="0"/>
                </w:rPr>
                <w:t>Yin, R. K.</w:t>
              </w:r>
              <w:r w:rsidRPr="00842828">
                <w:t xml:space="preserve"> (Ed.). (2005). </w:t>
              </w:r>
              <w:r w:rsidRPr="00842828">
                <w:rPr>
                  <w:rStyle w:val="Emphasis"/>
                </w:rPr>
                <w:t>Introducing the world of education: A case study reader</w:t>
              </w:r>
              <w:r w:rsidRPr="00842828">
                <w:t>. Sage.</w:t>
              </w:r>
            </w:p>
            <w:p w14:paraId="6FC72C47" w14:textId="61747385" w:rsidR="00842828" w:rsidRPr="00F44B81" w:rsidRDefault="00842828" w:rsidP="00842828">
              <w:pPr>
                <w:spacing w:before="240" w:after="240" w:line="240" w:lineRule="auto"/>
                <w:jc w:val="both"/>
                <w:rPr>
                  <w:rFonts w:ascii="Times New Roman" w:hAnsi="Times New Roman" w:cs="Times New Roman"/>
                  <w:sz w:val="20"/>
                  <w:szCs w:val="20"/>
                </w:rPr>
              </w:pPr>
            </w:p>
            <w:p w14:paraId="40F223F9" w14:textId="058BD5C2" w:rsidR="00F44B81" w:rsidRDefault="00000000"/>
          </w:sdtContent>
        </w:sdt>
      </w:sdtContent>
    </w:sdt>
    <w:p w14:paraId="38223D48" w14:textId="77777777" w:rsidR="00F44B81" w:rsidRDefault="00F44B81" w:rsidP="00F44B81">
      <w:pPr>
        <w:spacing w:line="360" w:lineRule="auto"/>
        <w:jc w:val="both"/>
        <w:rPr>
          <w:rFonts w:ascii="Times New Roman" w:eastAsia="Times New Roman" w:hAnsi="Times New Roman" w:cs="Times New Roman"/>
          <w:b/>
          <w:bCs/>
          <w:sz w:val="28"/>
          <w:szCs w:val="28"/>
        </w:rPr>
      </w:pPr>
    </w:p>
    <w:sectPr w:rsidR="00F44B81" w:rsidSect="00C87929">
      <w:headerReference w:type="default" r:id="rId31"/>
      <w:footerReference w:type="even" r:id="rId32"/>
      <w:footerReference w:type="default" r:id="rId33"/>
      <w:pgSz w:w="12240" w:h="15840"/>
      <w:pgMar w:top="1440" w:right="1440" w:bottom="1440" w:left="1440" w:header="10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5311" w14:textId="77777777" w:rsidR="00B764D5" w:rsidRDefault="00B764D5" w:rsidP="00D311C8">
      <w:pPr>
        <w:spacing w:line="240" w:lineRule="auto"/>
      </w:pPr>
      <w:r>
        <w:separator/>
      </w:r>
    </w:p>
  </w:endnote>
  <w:endnote w:type="continuationSeparator" w:id="0">
    <w:p w14:paraId="00219AE0" w14:textId="77777777" w:rsidR="00B764D5" w:rsidRDefault="00B764D5" w:rsidP="00D31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B0A953-1B5C-4515-9DCD-074320DE73E2}"/>
    <w:embedBold r:id="rId2" w:fontKey="{BB4C346A-EAF7-46B7-9D1C-78E0622EC088}"/>
    <w:embedBoldItalic r:id="rId3" w:fontKey="{F859312C-FBCC-4786-AB25-7EF9A6A222F3}"/>
  </w:font>
  <w:font w:name="Segoe UI">
    <w:panose1 w:val="020B0502040204020203"/>
    <w:charset w:val="CC"/>
    <w:family w:val="swiss"/>
    <w:pitch w:val="variable"/>
    <w:sig w:usb0="E4002EFF" w:usb1="C000E47F" w:usb2="00000009" w:usb3="00000000" w:csb0="000001FF" w:csb1="00000000"/>
    <w:embedRegular r:id="rId4" w:fontKey="{E68EDE11-3B7D-4ABD-8263-9F950BCF1A30}"/>
  </w:font>
  <w:font w:name="Cambria">
    <w:panose1 w:val="02040503050406030204"/>
    <w:charset w:val="00"/>
    <w:family w:val="roman"/>
    <w:pitch w:val="variable"/>
    <w:sig w:usb0="E00006FF" w:usb1="420024FF" w:usb2="02000000" w:usb3="00000000" w:csb0="0000019F" w:csb1="00000000"/>
    <w:embedRegular r:id="rId5" w:fontKey="{53803908-8D70-475A-920F-6BFEE5D00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4388107"/>
      <w:docPartObj>
        <w:docPartGallery w:val="Page Numbers (Bottom of Page)"/>
        <w:docPartUnique/>
      </w:docPartObj>
    </w:sdtPr>
    <w:sdtContent>
      <w:p w14:paraId="21DB5CED" w14:textId="5253B4EA" w:rsidR="007D453B" w:rsidRDefault="007D453B" w:rsidP="007F30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E9246" w14:textId="77777777" w:rsidR="007D453B" w:rsidRDefault="007D453B" w:rsidP="007D45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3664918"/>
      <w:docPartObj>
        <w:docPartGallery w:val="Page Numbers (Bottom of Page)"/>
        <w:docPartUnique/>
      </w:docPartObj>
    </w:sdtPr>
    <w:sdtContent>
      <w:p w14:paraId="6B781893" w14:textId="22B761D7" w:rsidR="007D453B" w:rsidRDefault="007D453B" w:rsidP="007F30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B571808" w14:textId="77777777" w:rsidR="007D453B" w:rsidRDefault="007D453B" w:rsidP="007D45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AD7EB" w14:textId="77777777" w:rsidR="00B764D5" w:rsidRDefault="00B764D5" w:rsidP="00D311C8">
      <w:pPr>
        <w:spacing w:line="240" w:lineRule="auto"/>
      </w:pPr>
      <w:r>
        <w:separator/>
      </w:r>
    </w:p>
  </w:footnote>
  <w:footnote w:type="continuationSeparator" w:id="0">
    <w:p w14:paraId="28FEC615" w14:textId="77777777" w:rsidR="00B764D5" w:rsidRDefault="00B764D5" w:rsidP="00D311C8">
      <w:pPr>
        <w:spacing w:line="240" w:lineRule="auto"/>
      </w:pPr>
      <w:r>
        <w:continuationSeparator/>
      </w:r>
    </w:p>
  </w:footnote>
  <w:footnote w:id="1">
    <w:p w14:paraId="4C6C62B8" w14:textId="39D58B4B" w:rsidR="007A5239" w:rsidRPr="007A5239" w:rsidRDefault="007A5239">
      <w:pPr>
        <w:pStyle w:val="FootnoteText"/>
        <w:rPr>
          <w:lang w:val="ro-RO"/>
        </w:rPr>
      </w:pPr>
      <w:r>
        <w:rPr>
          <w:rStyle w:val="FootnoteReference"/>
        </w:rPr>
        <w:footnoteRef/>
      </w:r>
      <w:r>
        <w:t xml:space="preserve"> </w:t>
      </w:r>
      <w:r w:rsidRPr="007A5239">
        <w:rPr>
          <w:b/>
          <w:bCs/>
          <w:lang w:val="en-US"/>
        </w:rPr>
        <w:t>Rezultatele finale ale Recensământului Populației și Locuințelor 2024</w:t>
      </w:r>
      <w:r>
        <w:rPr>
          <w:b/>
          <w:bCs/>
          <w:lang w:val="en-US"/>
        </w:rPr>
        <w:t xml:space="preserve">, </w:t>
      </w:r>
      <w:hyperlink r:id="rId1" w:history="1">
        <w:r w:rsidRPr="007A5239">
          <w:rPr>
            <w:rStyle w:val="Hyperlink"/>
          </w:rPr>
          <w:t>Rezultatele finale ale Recensământului Populației și Locuințelor 2024</w:t>
        </w:r>
      </w:hyperlink>
    </w:p>
  </w:footnote>
  <w:footnote w:id="2">
    <w:p w14:paraId="4C135533" w14:textId="01EE2BE1" w:rsidR="007A5239" w:rsidRPr="007A5239" w:rsidRDefault="007A5239">
      <w:pPr>
        <w:pStyle w:val="FootnoteText"/>
        <w:rPr>
          <w:lang w:val="ro-RO"/>
        </w:rPr>
      </w:pPr>
      <w:r>
        <w:rPr>
          <w:rStyle w:val="FootnoteReference"/>
        </w:rPr>
        <w:footnoteRef/>
      </w:r>
      <w:r>
        <w:t xml:space="preserve"> </w:t>
      </w:r>
      <w:hyperlink r:id="rId2" w:history="1">
        <w:r>
          <w:rPr>
            <w:rStyle w:val="Hyperlink"/>
          </w:rPr>
          <w:t>Forța de muncă: ocuparea și șomajul în anul 2024</w:t>
        </w:r>
      </w:hyperlink>
    </w:p>
  </w:footnote>
  <w:footnote w:id="3">
    <w:p w14:paraId="4F64ED86" w14:textId="087A6E9F" w:rsidR="007A5239" w:rsidRPr="007A5239" w:rsidRDefault="007A5239">
      <w:pPr>
        <w:pStyle w:val="FootnoteText"/>
        <w:rPr>
          <w:lang w:val="ro-RO"/>
        </w:rPr>
      </w:pPr>
      <w:r>
        <w:rPr>
          <w:rStyle w:val="FootnoteReference"/>
        </w:rPr>
        <w:footnoteRef/>
      </w:r>
      <w:r>
        <w:t xml:space="preserve"> </w:t>
      </w:r>
      <w:hyperlink r:id="rId3" w:history="1">
        <w:r>
          <w:rPr>
            <w:rStyle w:val="Hyperlink"/>
          </w:rPr>
          <w:t>Forța de muncă: ocuparea și șomajul în anul 2024</w:t>
        </w:r>
      </w:hyperlink>
    </w:p>
  </w:footnote>
  <w:footnote w:id="4">
    <w:p w14:paraId="4361FC63" w14:textId="69AD2FA2" w:rsidR="00AC45D7" w:rsidRPr="00AC45D7" w:rsidRDefault="00AC45D7">
      <w:pPr>
        <w:pStyle w:val="FootnoteText"/>
        <w:rPr>
          <w:lang w:val="ro-RO"/>
        </w:rPr>
      </w:pPr>
      <w:r>
        <w:rPr>
          <w:rStyle w:val="FootnoteReference"/>
        </w:rPr>
        <w:footnoteRef/>
      </w:r>
      <w:r>
        <w:t xml:space="preserve"> </w:t>
      </w:r>
      <w:hyperlink r:id="rId4" w:history="1">
        <w:r w:rsidRPr="00AC45D7">
          <w:rPr>
            <w:rStyle w:val="Hyperlink"/>
          </w:rPr>
          <w:t>BNM Reports Generator</w:t>
        </w:r>
      </w:hyperlink>
    </w:p>
  </w:footnote>
  <w:footnote w:id="5">
    <w:p w14:paraId="0FD4620E" w14:textId="77777777" w:rsidR="00AC45D7" w:rsidRPr="00AC45D7" w:rsidRDefault="00AC45D7" w:rsidP="00AC45D7">
      <w:pPr>
        <w:pStyle w:val="Default"/>
        <w:spacing w:line="276" w:lineRule="auto"/>
        <w:rPr>
          <w:rStyle w:val="Hyperlink"/>
          <w:color w:val="auto"/>
          <w:sz w:val="20"/>
          <w:szCs w:val="20"/>
          <w:lang w:val="ro-RO"/>
        </w:rPr>
      </w:pPr>
      <w:r w:rsidRPr="00AC45D7">
        <w:rPr>
          <w:rStyle w:val="FootnoteReference"/>
          <w:sz w:val="20"/>
          <w:szCs w:val="20"/>
        </w:rPr>
        <w:footnoteRef/>
      </w:r>
      <w:r w:rsidRPr="00AC45D7">
        <w:rPr>
          <w:sz w:val="20"/>
          <w:szCs w:val="20"/>
          <w:lang w:val="en-US"/>
        </w:rPr>
        <w:t xml:space="preserve"> </w:t>
      </w:r>
      <w:r w:rsidRPr="00AC45D7">
        <w:rPr>
          <w:sz w:val="20"/>
          <w:szCs w:val="20"/>
          <w:lang w:val="ro-RO"/>
        </w:rPr>
        <w:t>RAPORT DE ACTIVITATE al Agenţiei Naţionale pentru Ocuparea Forţei de Muncă pentru anul 2024</w:t>
      </w:r>
      <w:r w:rsidRPr="00AC45D7">
        <w:rPr>
          <w:sz w:val="20"/>
          <w:szCs w:val="20"/>
          <w:lang w:val="en-US"/>
        </w:rPr>
        <w:t xml:space="preserve">, </w:t>
      </w:r>
      <w:hyperlink r:id="rId5" w:history="1">
        <w:r w:rsidRPr="00AC45D7">
          <w:rPr>
            <w:rStyle w:val="Hyperlink"/>
            <w:sz w:val="20"/>
            <w:szCs w:val="20"/>
            <w:lang w:val="en-US"/>
          </w:rPr>
          <w:t>Raport_2024.indd</w:t>
        </w:r>
      </w:hyperlink>
    </w:p>
    <w:p w14:paraId="23BC2450" w14:textId="61C2674F" w:rsidR="00AC45D7" w:rsidRPr="00AC45D7" w:rsidRDefault="00AC45D7">
      <w:pPr>
        <w:pStyle w:val="FootnoteText"/>
        <w:rPr>
          <w:lang w:val="ro-RO"/>
        </w:rPr>
      </w:pPr>
    </w:p>
  </w:footnote>
  <w:footnote w:id="6">
    <w:p w14:paraId="17CC46D6" w14:textId="0373CA03" w:rsidR="00AC45D7" w:rsidRPr="00AC45D7" w:rsidRDefault="00AC45D7">
      <w:pPr>
        <w:pStyle w:val="FootnoteText"/>
        <w:rPr>
          <w:lang w:val="ro-RO"/>
        </w:rPr>
      </w:pPr>
      <w:r>
        <w:rPr>
          <w:rStyle w:val="FootnoteReference"/>
        </w:rPr>
        <w:footnoteRef/>
      </w:r>
      <w:r>
        <w:t xml:space="preserve"> </w:t>
      </w:r>
      <w:hyperlink r:id="rId6" w:history="1">
        <w:r w:rsidRPr="00AC45D7">
          <w:rPr>
            <w:rStyle w:val="Hyperlink"/>
          </w:rPr>
          <w:t>Rezultatele finale ale Recensământului Populației și Locuințelor 2024: Caracteristici economice ale populației</w:t>
        </w:r>
      </w:hyperlink>
    </w:p>
  </w:footnote>
  <w:footnote w:id="7">
    <w:p w14:paraId="0F75F21F" w14:textId="2F859B80" w:rsidR="00AC45D7" w:rsidRPr="00AC45D7" w:rsidRDefault="00AC45D7">
      <w:pPr>
        <w:pStyle w:val="FootnoteText"/>
        <w:rPr>
          <w:lang w:val="ro-RO"/>
        </w:rPr>
      </w:pPr>
      <w:r>
        <w:rPr>
          <w:rStyle w:val="FootnoteReference"/>
        </w:rPr>
        <w:footnoteRef/>
      </w:r>
      <w:r>
        <w:t xml:space="preserve"> </w:t>
      </w:r>
      <w:hyperlink r:id="rId7" w:history="1">
        <w:r w:rsidRPr="00AC45D7">
          <w:rPr>
            <w:rStyle w:val="Hyperlink"/>
          </w:rPr>
          <w:t>BNM Reports Generator</w:t>
        </w:r>
      </w:hyperlink>
    </w:p>
  </w:footnote>
  <w:footnote w:id="8">
    <w:p w14:paraId="0742C6AC" w14:textId="77777777" w:rsidR="00F44B81" w:rsidRPr="0040648D" w:rsidRDefault="00F44B81" w:rsidP="00FD0077">
      <w:pPr>
        <w:pStyle w:val="AD1"/>
        <w:jc w:val="both"/>
        <w:rPr>
          <w:sz w:val="16"/>
          <w:szCs w:val="16"/>
        </w:rPr>
      </w:pPr>
      <w:r>
        <w:rPr>
          <w:rStyle w:val="FootnoteReference"/>
        </w:rPr>
        <w:footnoteRef/>
      </w:r>
      <w:r>
        <w:t xml:space="preserve"> Președintele Republicii Moldova. (2000, 14 august). </w:t>
      </w:r>
      <w:r>
        <w:rPr>
          <w:rStyle w:val="Emphasis"/>
        </w:rPr>
        <w:t>Decret nr. 1604 privind promulgarea Legii pentru completarea anexei nr. 1 la Legea cu privire la Programul de privatizare pentru anii 1997–1998</w:t>
      </w:r>
      <w:r>
        <w:t>. Monitorul Oficial al Republicii Moldova, nr. 106, art. 778.</w:t>
      </w:r>
    </w:p>
  </w:footnote>
  <w:footnote w:id="9">
    <w:p w14:paraId="27CC712E" w14:textId="77777777" w:rsidR="00F44B81" w:rsidRPr="005651A2" w:rsidRDefault="00F44B81" w:rsidP="00F3008C">
      <w:pPr>
        <w:pStyle w:val="AD1"/>
        <w:rPr>
          <w:lang w:val="ro-MD"/>
        </w:rPr>
      </w:pPr>
      <w:r>
        <w:rPr>
          <w:rStyle w:val="FootnoteReference"/>
        </w:rPr>
        <w:footnoteRef/>
      </w:r>
      <w:r>
        <w:t xml:space="preserve"> Guvernul Republicii Moldova. (2024). </w:t>
      </w:r>
      <w:r>
        <w:rPr>
          <w:rStyle w:val="Emphasis"/>
        </w:rPr>
        <w:t>Raport de progres privind implementarea Agendei 2030 pentru dezvoltare durabilă în Republica Moldova</w:t>
      </w:r>
      <w:r>
        <w:t xml:space="preserve">. </w:t>
      </w:r>
      <w:hyperlink r:id="rId8" w:history="1">
        <w:r w:rsidRPr="00292E4C">
          <w:rPr>
            <w:rStyle w:val="Hyperlink"/>
          </w:rPr>
          <w:t>https://gov.md/sites/default/files/Filepdf/Raport%20ODD%202024.pdf</w:t>
        </w:r>
      </w:hyperlink>
      <w:r>
        <w:t xml:space="preserve"> </w:t>
      </w:r>
    </w:p>
  </w:footnote>
  <w:footnote w:id="10">
    <w:p w14:paraId="691EAA21" w14:textId="77777777" w:rsidR="00F44B81" w:rsidRPr="005651A2" w:rsidRDefault="00F44B81" w:rsidP="00F3008C">
      <w:pPr>
        <w:pStyle w:val="AD1"/>
        <w:rPr>
          <w:sz w:val="16"/>
          <w:szCs w:val="16"/>
          <w:lang w:val="ro-MD"/>
        </w:rPr>
      </w:pPr>
      <w:r>
        <w:rPr>
          <w:rStyle w:val="FootnoteReference"/>
        </w:rPr>
        <w:footnoteRef/>
      </w:r>
      <w:r>
        <w:t xml:space="preserve"> Națiunile Unite în Moldova. (2023, 19 septembrie). </w:t>
      </w:r>
      <w:r>
        <w:rPr>
          <w:rStyle w:val="Emphasis"/>
        </w:rPr>
        <w:t>Raport de progres privind implementarea Agendei 2030 pentru dezvoltare durabilă în Republica Moldova</w:t>
      </w:r>
      <w:r>
        <w:t xml:space="preserve"> (Publicație). UN Moldova. </w:t>
      </w:r>
      <w:hyperlink r:id="rId9" w:tgtFrame="_new" w:history="1">
        <w:r>
          <w:rPr>
            <w:rStyle w:val="Hyperlink"/>
          </w:rPr>
          <w:t>https://moldova.un.org/ro/246492-raport-de-progres-privind-implementarea-agendei-2030-pentru-dezvoltare-durabil%C4%83-%C3%AEn-republica</w:t>
        </w:r>
      </w:hyperlink>
    </w:p>
  </w:footnote>
  <w:footnote w:id="11">
    <w:p w14:paraId="5871AB93" w14:textId="77777777" w:rsidR="00F44B81" w:rsidRPr="00922FB9" w:rsidRDefault="00F44B81" w:rsidP="00F3008C">
      <w:pPr>
        <w:pStyle w:val="AD1"/>
        <w:rPr>
          <w:sz w:val="16"/>
          <w:szCs w:val="16"/>
        </w:rPr>
      </w:pPr>
      <w:r>
        <w:rPr>
          <w:rStyle w:val="FootnoteReference"/>
        </w:rPr>
        <w:footnoteRef/>
      </w:r>
      <w:r>
        <w:t xml:space="preserve"> Națiunile Unite în Moldova. (2022, 23 decembrie). </w:t>
      </w:r>
      <w:r>
        <w:rPr>
          <w:rStyle w:val="Emphasis"/>
        </w:rPr>
        <w:t>Cadrul de cooperare pentru dezvoltare durabilă al Organizației Națiunilor Unite 2023–2027, Republica Moldova</w:t>
      </w:r>
      <w:r>
        <w:t xml:space="preserve">. UN Moldova. </w:t>
      </w:r>
      <w:hyperlink r:id="rId10" w:tgtFrame="_new" w:history="1">
        <w:r>
          <w:rPr>
            <w:rStyle w:val="Hyperlink"/>
          </w:rPr>
          <w:t>https://moldova.un.org/ro/213110-cadrul-de-cooperare-pentru-dezvoltare-durabil%C4%83-al-organiza%C8%9Biei-na%C8%9Biunilor-unite-2023-2027</w:t>
        </w:r>
      </w:hyperlink>
    </w:p>
  </w:footnote>
  <w:footnote w:id="12">
    <w:p w14:paraId="1BCFFC59" w14:textId="77777777" w:rsidR="00F44B81" w:rsidRPr="0040648D" w:rsidRDefault="00F44B81" w:rsidP="00F44B81">
      <w:pPr>
        <w:pStyle w:val="AD1"/>
        <w:jc w:val="both"/>
        <w:rPr>
          <w:sz w:val="16"/>
          <w:szCs w:val="16"/>
        </w:rPr>
      </w:pPr>
      <w:r>
        <w:rPr>
          <w:rStyle w:val="FootnoteReference"/>
        </w:rPr>
        <w:footnoteRef/>
      </w:r>
      <w:r>
        <w:t xml:space="preserve"> Guvernul Republicii Moldova. (2023, 21 decembrie). </w:t>
      </w:r>
      <w:r>
        <w:rPr>
          <w:rStyle w:val="Emphasis"/>
        </w:rPr>
        <w:t>Hotărâre nr. HG1032/2023 cu privire la aprobarea Programului național „Diaspora” pentru anii 2024–2028</w:t>
      </w:r>
      <w:r>
        <w:t>. Monitorul Oficial al Republicii Moldova, nr. 61–63, art. 122.</w:t>
      </w:r>
    </w:p>
  </w:footnote>
  <w:footnote w:id="13">
    <w:p w14:paraId="1510A2EC" w14:textId="77777777" w:rsidR="00F44B81" w:rsidRPr="0040648D" w:rsidRDefault="00F44B81" w:rsidP="00F44B81">
      <w:pPr>
        <w:pStyle w:val="AD1"/>
        <w:jc w:val="both"/>
      </w:pPr>
      <w:r>
        <w:rPr>
          <w:rStyle w:val="FootnoteReference"/>
        </w:rPr>
        <w:footnoteRef/>
      </w:r>
      <w:r>
        <w:t xml:space="preserve"> Guvernul Republicii Moldova. (2025). </w:t>
      </w:r>
      <w:r>
        <w:rPr>
          <w:rStyle w:val="Emphasis"/>
        </w:rPr>
        <w:t>Raport cu privire la activitatea Guvernului în anul 2024</w:t>
      </w:r>
      <w:r>
        <w:t xml:space="preserve"> (Raport). </w:t>
      </w:r>
      <w:hyperlink r:id="rId11" w:tgtFrame="_new" w:history="1">
        <w:r>
          <w:rPr>
            <w:rStyle w:val="Hyperlink"/>
          </w:rPr>
          <w:t>https://gov.md/sites/default/files/media/documents/2025-04/Raportul%20cu%20privire%20la%20activitatea%20Guvernului%202024.pdf</w:t>
        </w:r>
      </w:hyperlink>
    </w:p>
  </w:footnote>
  <w:footnote w:id="14">
    <w:p w14:paraId="3A47013D" w14:textId="77777777" w:rsidR="00F44B81" w:rsidRPr="00922FB9" w:rsidRDefault="00F44B81" w:rsidP="00F44B81">
      <w:pPr>
        <w:pStyle w:val="AD1"/>
        <w:jc w:val="both"/>
        <w:rPr>
          <w:sz w:val="16"/>
          <w:szCs w:val="16"/>
        </w:rPr>
      </w:pPr>
      <w:r w:rsidRPr="00530F0E">
        <w:rPr>
          <w:rStyle w:val="FootnoteReference"/>
          <w:sz w:val="16"/>
          <w:szCs w:val="16"/>
        </w:rPr>
        <w:footnoteRef/>
      </w:r>
      <w:r w:rsidRPr="00530F0E">
        <w:rPr>
          <w:sz w:val="16"/>
          <w:szCs w:val="16"/>
        </w:rPr>
        <w:t xml:space="preserve"> </w:t>
      </w:r>
      <w:r>
        <w:t xml:space="preserve">Parlamentul Republicii Moldova. (2018, 14 iunie). </w:t>
      </w:r>
      <w:r>
        <w:rPr>
          <w:rStyle w:val="Emphasis"/>
        </w:rPr>
        <w:t>Lege nr. 105 cu privire la promovarea ocupării forței de muncă și asigurarea de șomaj</w:t>
      </w:r>
      <w:r>
        <w:t>. Monitorul Oficial al Republicii Moldova, nr. 295–308, art. 448.</w:t>
      </w:r>
    </w:p>
  </w:footnote>
  <w:footnote w:id="15">
    <w:p w14:paraId="51076244" w14:textId="77777777" w:rsidR="00F44B81" w:rsidRPr="00C44484" w:rsidRDefault="00F44B81" w:rsidP="00F3008C">
      <w:pPr>
        <w:pStyle w:val="AD1"/>
        <w:rPr>
          <w:sz w:val="16"/>
          <w:szCs w:val="16"/>
        </w:rPr>
      </w:pPr>
      <w:r>
        <w:rPr>
          <w:rStyle w:val="FootnoteReference"/>
        </w:rPr>
        <w:footnoteRef/>
      </w:r>
      <w:r>
        <w:t xml:space="preserve"> </w:t>
      </w:r>
      <w:bookmarkStart w:id="0" w:name="_Hlk220397332"/>
      <w:bookmarkStart w:id="1" w:name="_Hlk220397333"/>
      <w:r>
        <w:t xml:space="preserve">Guvernul Republicii Moldova. (2018, 26 decembrie). </w:t>
      </w:r>
      <w:r>
        <w:rPr>
          <w:rStyle w:val="Emphasis"/>
        </w:rPr>
        <w:t>Hotărâre nr. 1276 pentru aprobarea procedurilor privind accesul la măsurile de ocupare a forței de muncă</w:t>
      </w:r>
      <w:r>
        <w:t>. Monitorul Oficial al Republicii Moldova, nr. 38–47, art. 66.</w:t>
      </w:r>
      <w:bookmarkEnd w:id="0"/>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0F000" w14:textId="6B6D84AC" w:rsidR="005A067C" w:rsidRDefault="005A067C">
    <w:pPr>
      <w:pStyle w:val="Header"/>
    </w:pPr>
    <w:r w:rsidRPr="005A067C">
      <w:rPr>
        <w:lang w:val="ro-RO"/>
      </w:rPr>
      <w:tab/>
      <w:t xml:space="preserve">        </w:t>
    </w:r>
    <w:r w:rsidRPr="005A067C">
      <w:rPr>
        <w:rFonts w:ascii="Calibri" w:eastAsia="Calibri" w:hAnsi="Calibri" w:cs="Calibri"/>
        <w:color w:val="000000"/>
        <w:lang w:val="ro-RO"/>
      </w:rPr>
      <w:tab/>
      <w:t xml:space="preserve">             </w:t>
    </w:r>
    <w:r w:rsidRPr="005A067C">
      <w:rPr>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174"/>
    <w:multiLevelType w:val="hybridMultilevel"/>
    <w:tmpl w:val="1CF2CE30"/>
    <w:lvl w:ilvl="0" w:tplc="45123E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243F4"/>
    <w:multiLevelType w:val="hybridMultilevel"/>
    <w:tmpl w:val="44F0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61FE"/>
    <w:multiLevelType w:val="hybridMultilevel"/>
    <w:tmpl w:val="C9DC9D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4913D1B"/>
    <w:multiLevelType w:val="hybridMultilevel"/>
    <w:tmpl w:val="3D44D96E"/>
    <w:lvl w:ilvl="0" w:tplc="610203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13043"/>
    <w:multiLevelType w:val="multilevel"/>
    <w:tmpl w:val="813C4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DE6AA4"/>
    <w:multiLevelType w:val="hybridMultilevel"/>
    <w:tmpl w:val="DFC4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F6BA7"/>
    <w:multiLevelType w:val="multilevel"/>
    <w:tmpl w:val="71EE1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7C6A77"/>
    <w:multiLevelType w:val="hybridMultilevel"/>
    <w:tmpl w:val="54CC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545E4"/>
    <w:multiLevelType w:val="hybridMultilevel"/>
    <w:tmpl w:val="8590738E"/>
    <w:lvl w:ilvl="0" w:tplc="420058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6956CF"/>
    <w:multiLevelType w:val="multilevel"/>
    <w:tmpl w:val="FBA80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3603444">
    <w:abstractNumId w:val="9"/>
  </w:num>
  <w:num w:numId="2" w16cid:durableId="458256509">
    <w:abstractNumId w:val="6"/>
  </w:num>
  <w:num w:numId="3" w16cid:durableId="535586652">
    <w:abstractNumId w:val="4"/>
  </w:num>
  <w:num w:numId="4" w16cid:durableId="463234420">
    <w:abstractNumId w:val="7"/>
  </w:num>
  <w:num w:numId="5" w16cid:durableId="850220042">
    <w:abstractNumId w:val="8"/>
  </w:num>
  <w:num w:numId="6" w16cid:durableId="1707832294">
    <w:abstractNumId w:val="5"/>
  </w:num>
  <w:num w:numId="7" w16cid:durableId="1434865270">
    <w:abstractNumId w:val="3"/>
  </w:num>
  <w:num w:numId="8" w16cid:durableId="1250120307">
    <w:abstractNumId w:val="1"/>
  </w:num>
  <w:num w:numId="9" w16cid:durableId="191190755">
    <w:abstractNumId w:val="0"/>
  </w:num>
  <w:num w:numId="10" w16cid:durableId="61565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3F"/>
    <w:rsid w:val="000D6428"/>
    <w:rsid w:val="001D23DC"/>
    <w:rsid w:val="001F5AE1"/>
    <w:rsid w:val="00201F1E"/>
    <w:rsid w:val="0021594E"/>
    <w:rsid w:val="002245FE"/>
    <w:rsid w:val="00317EA4"/>
    <w:rsid w:val="00347522"/>
    <w:rsid w:val="003B2CA0"/>
    <w:rsid w:val="003D2D54"/>
    <w:rsid w:val="003F3849"/>
    <w:rsid w:val="00422400"/>
    <w:rsid w:val="00444554"/>
    <w:rsid w:val="00556C7D"/>
    <w:rsid w:val="005A067C"/>
    <w:rsid w:val="005E4BEF"/>
    <w:rsid w:val="006015E6"/>
    <w:rsid w:val="007048EB"/>
    <w:rsid w:val="0072670E"/>
    <w:rsid w:val="007753B9"/>
    <w:rsid w:val="00786F6B"/>
    <w:rsid w:val="00796010"/>
    <w:rsid w:val="00797ADA"/>
    <w:rsid w:val="007A5239"/>
    <w:rsid w:val="007D453B"/>
    <w:rsid w:val="008130E6"/>
    <w:rsid w:val="0083031C"/>
    <w:rsid w:val="00842828"/>
    <w:rsid w:val="009E20C7"/>
    <w:rsid w:val="00A30304"/>
    <w:rsid w:val="00A33F99"/>
    <w:rsid w:val="00AC45D7"/>
    <w:rsid w:val="00B764D5"/>
    <w:rsid w:val="00BD468A"/>
    <w:rsid w:val="00C170CE"/>
    <w:rsid w:val="00C845B6"/>
    <w:rsid w:val="00C87929"/>
    <w:rsid w:val="00CA253F"/>
    <w:rsid w:val="00CC2492"/>
    <w:rsid w:val="00D311C8"/>
    <w:rsid w:val="00D84DD1"/>
    <w:rsid w:val="00DE3377"/>
    <w:rsid w:val="00E57F85"/>
    <w:rsid w:val="00EC4E3B"/>
    <w:rsid w:val="00F3008C"/>
    <w:rsid w:val="00F44B81"/>
    <w:rsid w:val="00FD0077"/>
    <w:rsid w:val="00FD4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E8DEF"/>
  <w15:docId w15:val="{094B879D-4EF4-4173-A6CE-6FDA74C3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styleId="GridTable2-Accent5">
    <w:name w:val="Grid Table 2 Accent 5"/>
    <w:basedOn w:val="TableNormal"/>
    <w:uiPriority w:val="47"/>
    <w:rsid w:val="00D311C8"/>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F3008C"/>
    <w:pPr>
      <w:spacing w:line="240" w:lineRule="auto"/>
    </w:pPr>
    <w:rPr>
      <w:rFonts w:ascii="Calibri" w:eastAsia="Calibri" w:hAnsi="Calibri"/>
      <w:lang w:val="ro-R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1">
    <w:name w:val="AD1"/>
    <w:basedOn w:val="Normal"/>
    <w:next w:val="FootnoteText"/>
    <w:link w:val="FootnoteTextChar"/>
    <w:unhideWhenUsed/>
    <w:rsid w:val="00F3008C"/>
    <w:pPr>
      <w:spacing w:line="240" w:lineRule="auto"/>
    </w:pPr>
    <w:rPr>
      <w:rFonts w:ascii="Times New Roman" w:hAnsi="Times New Roman"/>
      <w:sz w:val="20"/>
      <w:szCs w:val="20"/>
    </w:rPr>
  </w:style>
  <w:style w:type="character" w:customStyle="1" w:styleId="FootnoteTextChar">
    <w:name w:val="Footnote Text Char"/>
    <w:aliases w:val="single space Char,footnote text Char,Текст сноски Знак1 Char,Fußnote Char Char Char,Fußnote Char Char1,Fußnote Char Car Char Char Char,Fußnote Char Car Char Char Char Char Char Char Char Char Char Char Char,FOOTNOTES Char,fn Char"/>
    <w:basedOn w:val="DefaultParagraphFont"/>
    <w:link w:val="AD1"/>
    <w:rsid w:val="00F3008C"/>
    <w:rPr>
      <w:rFonts w:ascii="Times New Roman" w:hAnsi="Times New Roman"/>
      <w:sz w:val="20"/>
      <w:szCs w:val="20"/>
    </w:rPr>
  </w:style>
  <w:style w:type="character" w:styleId="FootnoteReference">
    <w:name w:val="footnote reference"/>
    <w:aliases w:val="Ref,de nota al pie,Referencia nota al pie,ftref,Times 10 Point,Exposant 3 Point,Footnote symbol,Footnote reference number,EN Footnote Reference,note TESI,16 Point,Superscript 6 Point, Exposant 3 Point,Rimando nota a piè di pagina1"/>
    <w:basedOn w:val="DefaultParagraphFont"/>
    <w:link w:val="ReferencianotaalpieCharCharCharCharCharCharCharChar"/>
    <w:unhideWhenUsed/>
    <w:rsid w:val="00F3008C"/>
    <w:rPr>
      <w:vertAlign w:val="superscript"/>
    </w:rPr>
  </w:style>
  <w:style w:type="paragraph" w:customStyle="1" w:styleId="ReferencianotaalpieCharCharCharCharCharCharCharChar">
    <w:name w:val="Referencia nota al pie Char Char Char Char Char Char Char Char Знак"/>
    <w:aliases w:val="ftref Char Char Char Char Char Char Char Char Знак,Times 10 Point Char Char Char Char Char Char Char Char Знак"/>
    <w:basedOn w:val="Normal"/>
    <w:link w:val="FootnoteReference"/>
    <w:rsid w:val="00F3008C"/>
    <w:pPr>
      <w:spacing w:after="160" w:line="240" w:lineRule="exact"/>
    </w:pPr>
    <w:rPr>
      <w:vertAlign w:val="superscript"/>
    </w:rPr>
  </w:style>
  <w:style w:type="table" w:styleId="TableGrid">
    <w:name w:val="Table Grid"/>
    <w:basedOn w:val="TableNormal"/>
    <w:uiPriority w:val="39"/>
    <w:rsid w:val="00F300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semiHidden/>
    <w:unhideWhenUsed/>
    <w:rsid w:val="00F3008C"/>
    <w:pPr>
      <w:spacing w:line="240" w:lineRule="auto"/>
    </w:pPr>
    <w:rPr>
      <w:sz w:val="20"/>
      <w:szCs w:val="20"/>
    </w:rPr>
  </w:style>
  <w:style w:type="character" w:customStyle="1" w:styleId="FootnoteTextChar1">
    <w:name w:val="Footnote Text Char1"/>
    <w:basedOn w:val="DefaultParagraphFont"/>
    <w:link w:val="FootnoteText"/>
    <w:uiPriority w:val="99"/>
    <w:semiHidden/>
    <w:rsid w:val="00F3008C"/>
    <w:rPr>
      <w:sz w:val="20"/>
      <w:szCs w:val="20"/>
    </w:rPr>
  </w:style>
  <w:style w:type="table" w:styleId="GridTable3-Accent5">
    <w:name w:val="Grid Table 3 Accent 5"/>
    <w:basedOn w:val="TableNormal"/>
    <w:uiPriority w:val="48"/>
    <w:rsid w:val="00F3008C"/>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Hyperlink">
    <w:name w:val="Hyperlink"/>
    <w:basedOn w:val="DefaultParagraphFont"/>
    <w:uiPriority w:val="99"/>
    <w:unhideWhenUsed/>
    <w:rsid w:val="009E20C7"/>
    <w:rPr>
      <w:color w:val="0000FF" w:themeColor="hyperlink"/>
      <w:u w:val="single"/>
    </w:rPr>
  </w:style>
  <w:style w:type="character" w:styleId="UnresolvedMention">
    <w:name w:val="Unresolved Mention"/>
    <w:basedOn w:val="DefaultParagraphFont"/>
    <w:uiPriority w:val="99"/>
    <w:semiHidden/>
    <w:unhideWhenUsed/>
    <w:rsid w:val="009E20C7"/>
    <w:rPr>
      <w:color w:val="605E5C"/>
      <w:shd w:val="clear" w:color="auto" w:fill="E1DFDD"/>
    </w:rPr>
  </w:style>
  <w:style w:type="paragraph" w:styleId="Header">
    <w:name w:val="header"/>
    <w:basedOn w:val="Normal"/>
    <w:link w:val="HeaderChar"/>
    <w:uiPriority w:val="99"/>
    <w:unhideWhenUsed/>
    <w:rsid w:val="00317EA4"/>
    <w:pPr>
      <w:tabs>
        <w:tab w:val="center" w:pos="4680"/>
        <w:tab w:val="right" w:pos="9360"/>
      </w:tabs>
      <w:spacing w:line="240" w:lineRule="auto"/>
    </w:pPr>
  </w:style>
  <w:style w:type="character" w:customStyle="1" w:styleId="HeaderChar">
    <w:name w:val="Header Char"/>
    <w:basedOn w:val="DefaultParagraphFont"/>
    <w:link w:val="Header"/>
    <w:uiPriority w:val="99"/>
    <w:rsid w:val="00317EA4"/>
  </w:style>
  <w:style w:type="paragraph" w:styleId="Footer">
    <w:name w:val="footer"/>
    <w:basedOn w:val="Normal"/>
    <w:link w:val="FooterChar"/>
    <w:uiPriority w:val="99"/>
    <w:unhideWhenUsed/>
    <w:rsid w:val="00317EA4"/>
    <w:pPr>
      <w:tabs>
        <w:tab w:val="center" w:pos="4680"/>
        <w:tab w:val="right" w:pos="9360"/>
      </w:tabs>
      <w:spacing w:line="240" w:lineRule="auto"/>
    </w:pPr>
  </w:style>
  <w:style w:type="character" w:customStyle="1" w:styleId="FooterChar">
    <w:name w:val="Footer Char"/>
    <w:basedOn w:val="DefaultParagraphFont"/>
    <w:link w:val="Footer"/>
    <w:uiPriority w:val="99"/>
    <w:rsid w:val="00317EA4"/>
  </w:style>
  <w:style w:type="paragraph" w:styleId="ListParagraph">
    <w:name w:val="List Paragraph"/>
    <w:basedOn w:val="Normal"/>
    <w:uiPriority w:val="34"/>
    <w:qFormat/>
    <w:rsid w:val="0072670E"/>
    <w:pPr>
      <w:ind w:left="720"/>
      <w:contextualSpacing/>
    </w:pPr>
  </w:style>
  <w:style w:type="paragraph" w:styleId="NormalWeb">
    <w:name w:val="Normal (Web)"/>
    <w:basedOn w:val="Normal"/>
    <w:uiPriority w:val="99"/>
    <w:semiHidden/>
    <w:unhideWhenUsed/>
    <w:rsid w:val="007267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347522"/>
    <w:rPr>
      <w:sz w:val="16"/>
      <w:szCs w:val="16"/>
    </w:rPr>
  </w:style>
  <w:style w:type="paragraph" w:styleId="CommentText">
    <w:name w:val="annotation text"/>
    <w:basedOn w:val="Normal"/>
    <w:link w:val="CommentTextChar"/>
    <w:uiPriority w:val="99"/>
    <w:semiHidden/>
    <w:unhideWhenUsed/>
    <w:rsid w:val="00347522"/>
    <w:pPr>
      <w:spacing w:line="240" w:lineRule="auto"/>
    </w:pPr>
    <w:rPr>
      <w:sz w:val="20"/>
      <w:szCs w:val="20"/>
    </w:rPr>
  </w:style>
  <w:style w:type="character" w:customStyle="1" w:styleId="CommentTextChar">
    <w:name w:val="Comment Text Char"/>
    <w:basedOn w:val="DefaultParagraphFont"/>
    <w:link w:val="CommentText"/>
    <w:uiPriority w:val="99"/>
    <w:semiHidden/>
    <w:rsid w:val="00347522"/>
    <w:rPr>
      <w:sz w:val="20"/>
      <w:szCs w:val="20"/>
    </w:rPr>
  </w:style>
  <w:style w:type="paragraph" w:styleId="CommentSubject">
    <w:name w:val="annotation subject"/>
    <w:basedOn w:val="CommentText"/>
    <w:next w:val="CommentText"/>
    <w:link w:val="CommentSubjectChar"/>
    <w:uiPriority w:val="99"/>
    <w:semiHidden/>
    <w:unhideWhenUsed/>
    <w:rsid w:val="00347522"/>
    <w:rPr>
      <w:b/>
      <w:bCs/>
    </w:rPr>
  </w:style>
  <w:style w:type="character" w:customStyle="1" w:styleId="CommentSubjectChar">
    <w:name w:val="Comment Subject Char"/>
    <w:basedOn w:val="CommentTextChar"/>
    <w:link w:val="CommentSubject"/>
    <w:uiPriority w:val="99"/>
    <w:semiHidden/>
    <w:rsid w:val="00347522"/>
    <w:rPr>
      <w:b/>
      <w:bCs/>
      <w:sz w:val="20"/>
      <w:szCs w:val="20"/>
    </w:rPr>
  </w:style>
  <w:style w:type="paragraph" w:styleId="BalloonText">
    <w:name w:val="Balloon Text"/>
    <w:basedOn w:val="Normal"/>
    <w:link w:val="BalloonTextChar"/>
    <w:uiPriority w:val="99"/>
    <w:semiHidden/>
    <w:unhideWhenUsed/>
    <w:rsid w:val="003475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522"/>
    <w:rPr>
      <w:rFonts w:ascii="Segoe UI" w:hAnsi="Segoe UI" w:cs="Segoe UI"/>
      <w:sz w:val="18"/>
      <w:szCs w:val="18"/>
    </w:rPr>
  </w:style>
  <w:style w:type="character" w:styleId="Emphasis">
    <w:name w:val="Emphasis"/>
    <w:basedOn w:val="DefaultParagraphFont"/>
    <w:uiPriority w:val="20"/>
    <w:qFormat/>
    <w:rsid w:val="00FD0077"/>
    <w:rPr>
      <w:i/>
      <w:iCs/>
    </w:rPr>
  </w:style>
  <w:style w:type="character" w:customStyle="1" w:styleId="Heading1Char">
    <w:name w:val="Heading 1 Char"/>
    <w:basedOn w:val="DefaultParagraphFont"/>
    <w:link w:val="Heading1"/>
    <w:uiPriority w:val="9"/>
    <w:rsid w:val="00F44B81"/>
    <w:rPr>
      <w:sz w:val="40"/>
      <w:szCs w:val="40"/>
    </w:rPr>
  </w:style>
  <w:style w:type="character" w:styleId="Strong">
    <w:name w:val="Strong"/>
    <w:basedOn w:val="DefaultParagraphFont"/>
    <w:uiPriority w:val="22"/>
    <w:qFormat/>
    <w:rsid w:val="00842828"/>
    <w:rPr>
      <w:b/>
      <w:bCs/>
    </w:rPr>
  </w:style>
  <w:style w:type="table" w:styleId="ListTable2-Accent1">
    <w:name w:val="List Table 2 Accent 1"/>
    <w:basedOn w:val="TableNormal"/>
    <w:uiPriority w:val="47"/>
    <w:rsid w:val="00CC2492"/>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4">
    <w:name w:val="List Table 2 Accent 4"/>
    <w:basedOn w:val="TableNormal"/>
    <w:uiPriority w:val="47"/>
    <w:rsid w:val="00CC2492"/>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6">
    <w:name w:val="List Table 1 Light Accent 6"/>
    <w:basedOn w:val="TableNormal"/>
    <w:uiPriority w:val="46"/>
    <w:rsid w:val="00CC2492"/>
    <w:pPr>
      <w:spacing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CC249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CC2492"/>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ageNumber">
    <w:name w:val="page number"/>
    <w:basedOn w:val="DefaultParagraphFont"/>
    <w:uiPriority w:val="99"/>
    <w:semiHidden/>
    <w:unhideWhenUsed/>
    <w:rsid w:val="007D453B"/>
  </w:style>
  <w:style w:type="paragraph" w:customStyle="1" w:styleId="Default">
    <w:name w:val="Default"/>
    <w:rsid w:val="00AC45D7"/>
    <w:pPr>
      <w:autoSpaceDE w:val="0"/>
      <w:autoSpaceDN w:val="0"/>
      <w:adjustRightInd w:val="0"/>
      <w:spacing w:line="240" w:lineRule="auto"/>
    </w:pPr>
    <w:rPr>
      <w:rFonts w:ascii="Times New Roman" w:eastAsia="Calibri"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283963">
      <w:bodyDiv w:val="1"/>
      <w:marLeft w:val="0"/>
      <w:marRight w:val="0"/>
      <w:marTop w:val="0"/>
      <w:marBottom w:val="0"/>
      <w:divBdr>
        <w:top w:val="none" w:sz="0" w:space="0" w:color="auto"/>
        <w:left w:val="none" w:sz="0" w:space="0" w:color="auto"/>
        <w:bottom w:val="none" w:sz="0" w:space="0" w:color="auto"/>
        <w:right w:val="none" w:sz="0" w:space="0" w:color="auto"/>
      </w:divBdr>
    </w:div>
    <w:div w:id="743142334">
      <w:bodyDiv w:val="1"/>
      <w:marLeft w:val="0"/>
      <w:marRight w:val="0"/>
      <w:marTop w:val="0"/>
      <w:marBottom w:val="0"/>
      <w:divBdr>
        <w:top w:val="none" w:sz="0" w:space="0" w:color="auto"/>
        <w:left w:val="none" w:sz="0" w:space="0" w:color="auto"/>
        <w:bottom w:val="none" w:sz="0" w:space="0" w:color="auto"/>
        <w:right w:val="none" w:sz="0" w:space="0" w:color="auto"/>
      </w:divBdr>
    </w:div>
    <w:div w:id="1066564775">
      <w:bodyDiv w:val="1"/>
      <w:marLeft w:val="0"/>
      <w:marRight w:val="0"/>
      <w:marTop w:val="0"/>
      <w:marBottom w:val="0"/>
      <w:divBdr>
        <w:top w:val="none" w:sz="0" w:space="0" w:color="auto"/>
        <w:left w:val="none" w:sz="0" w:space="0" w:color="auto"/>
        <w:bottom w:val="none" w:sz="0" w:space="0" w:color="auto"/>
        <w:right w:val="none" w:sz="0" w:space="0" w:color="auto"/>
      </w:divBdr>
      <w:divsChild>
        <w:div w:id="2131823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8061774">
      <w:bodyDiv w:val="1"/>
      <w:marLeft w:val="0"/>
      <w:marRight w:val="0"/>
      <w:marTop w:val="0"/>
      <w:marBottom w:val="0"/>
      <w:divBdr>
        <w:top w:val="none" w:sz="0" w:space="0" w:color="auto"/>
        <w:left w:val="none" w:sz="0" w:space="0" w:color="auto"/>
        <w:bottom w:val="none" w:sz="0" w:space="0" w:color="auto"/>
        <w:right w:val="none" w:sz="0" w:space="0" w:color="auto"/>
      </w:divBdr>
    </w:div>
    <w:div w:id="1963802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d.gov.md/revenire/ghid-pentru-suport-la-revenire/" TargetMode="External"/><Relationship Id="rId18" Type="http://schemas.openxmlformats.org/officeDocument/2006/relationships/hyperlink" Target="https://gov.md/sites/default/files/Filepdf/Raport%20ODD%202024.pdf?utm_source=chatgpt.com" TargetMode="External"/><Relationship Id="rId26" Type="http://schemas.openxmlformats.org/officeDocument/2006/relationships/hyperlink" Target="https://www.iom.int/global-compact-migration?utm_source=chatgpt.com" TargetMode="External"/><Relationship Id="rId3" Type="http://schemas.openxmlformats.org/officeDocument/2006/relationships/styles" Target="styles.xml"/><Relationship Id="rId21" Type="http://schemas.openxmlformats.org/officeDocument/2006/relationships/hyperlink" Target="https://brd.gov.md/rezultate/sustinerea-activitatilor-culturale-si-educationale-in-diaspora/?utm_source=chatgpt.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rd.gov.md/rezultate/sustinerea-activitatilor-culturale-si-educationale-in-diaspora/?utm_source=chatgpt.com" TargetMode="External"/><Relationship Id="rId17" Type="http://schemas.openxmlformats.org/officeDocument/2006/relationships/hyperlink" Target="https://brd.gov.md/rezultate/sustinere-a-revenirii-de-scurta-durata-a-membrilor-diasporei-cu-experienta-profesionala-avansata/" TargetMode="External"/><Relationship Id="rId25" Type="http://schemas.openxmlformats.org/officeDocument/2006/relationships/hyperlink" Target="https://igm.gov.md/wp-content/uploads/2024/12/Compendiul-Statistic-al-PME_-ed-2024.pdf?utm_source=chatgpt.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rd.gov.md/rezultate/programul-diaspora-acasa-reuseste-dar-13/?utm_source=chatgpt.com" TargetMode="External"/><Relationship Id="rId20" Type="http://schemas.openxmlformats.org/officeDocument/2006/relationships/hyperlink" Target="https://brd.gov.md/revenire/ghid-pentru-suport-la-revenire/?utm_source=chatgpt.com" TargetMode="External"/><Relationship Id="rId29" Type="http://schemas.openxmlformats.org/officeDocument/2006/relationships/hyperlink" Target="https://moldova.un.org/ro/246492-raport-de-progres-privind-implementarea-agendei-2030-pentru-dezvoltare-durabil%C4%83-%C3%AEn-republica?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d.gov.md/wp-content/uploads/2025/02/Plan-de-actiuni_brd_2025.pdf?utm_source=chatgpt.com" TargetMode="External"/><Relationship Id="rId24" Type="http://schemas.openxmlformats.org/officeDocument/2006/relationships/hyperlink" Target="https://brd.gov.md/rezultate/programul-diaspora-acasa-reuseste-dar-13/?utm_source=chatgpt.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rd.gov.md/rezultate/programul-diaspora-acasa-reuseste-dar-13/?utm_source=chatgpt.com" TargetMode="External"/><Relationship Id="rId23" Type="http://schemas.openxmlformats.org/officeDocument/2006/relationships/hyperlink" Target="https://brd.gov.md/wp-content/uploads/2025/02/Plan-de-actiuni_brd_2025.pdf?utm_source=chatgpt.com" TargetMode="External"/><Relationship Id="rId28" Type="http://schemas.openxmlformats.org/officeDocument/2006/relationships/hyperlink" Target="https://moldova.un.org/ro/213110-cadrul-de-cooperare-pentru-dezvoltare-durabil%C4%83-al-organiza%C8%9Biei-na%C8%9Biunilor-unite-2023-2027?utm_source=chatgpt.com" TargetMode="External"/><Relationship Id="rId10" Type="http://schemas.openxmlformats.org/officeDocument/2006/relationships/hyperlink" Target="https://rtsa.ro/rtsa/index.php/rtsa/article/download/546/543?utm_source=chatgpt.com" TargetMode="External"/><Relationship Id="rId19" Type="http://schemas.openxmlformats.org/officeDocument/2006/relationships/hyperlink" Target="https://gov.md/sites/default/files/media/documents/2025-04/Raportul%20cu%20privire%20la%20activitatea%20Guvernului%202024.pdf?utm_source=chatgpt.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gm.gov.md/wp-content/uploads/2024/12/Compendiul-Statistic-al-PME_-ed-2024.pdf?utm_source=chatgpt.com" TargetMode="External"/><Relationship Id="rId14" Type="http://schemas.openxmlformats.org/officeDocument/2006/relationships/hyperlink" Target="https://www.oda.md/ro/pare1?utm_source=chatgpt.com" TargetMode="External"/><Relationship Id="rId22" Type="http://schemas.openxmlformats.org/officeDocument/2006/relationships/hyperlink" Target="https://brd.gov.md/rezultate/sustinere-a-revenirii-de-scurta-durata-a-membrilor-diasporei-cu-experienta-profesionala-avansata/" TargetMode="External"/><Relationship Id="rId27" Type="http://schemas.openxmlformats.org/officeDocument/2006/relationships/hyperlink" Target="file:///D:\Users\Dorin\Downloads\pub2023-047-l-world-migration-report-2024_11.pdf" TargetMode="External"/><Relationship Id="rId30" Type="http://schemas.openxmlformats.org/officeDocument/2006/relationships/hyperlink" Target="https://www.oda.md/ro/pare1?utm_source=chatgpt.com" TargetMode="External"/><Relationship Id="rId35" Type="http://schemas.openxmlformats.org/officeDocument/2006/relationships/theme" Target="theme/theme1.xml"/><Relationship Id="rId8" Type="http://schemas.openxmlformats.org/officeDocument/2006/relationships/hyperlink" Target="https://brd.gov.md/wp-content/uploads/2024/08/hotarare_de_guvern_nr_725_2017.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gov.md/sites/default/files/Filepdf/Raport%20ODD%202024.pdf" TargetMode="External"/><Relationship Id="rId3" Type="http://schemas.openxmlformats.org/officeDocument/2006/relationships/hyperlink" Target="https://statistica.gov.md/ro/forta-de-munca-ocuparea-si-somajul-in-anul-2024-9430_61728.html" TargetMode="External"/><Relationship Id="rId7" Type="http://schemas.openxmlformats.org/officeDocument/2006/relationships/hyperlink" Target="https://www.bnm.md/bdi/pages/reports/dbp/DBP4.xhtml?id=0&amp;lang=ro" TargetMode="External"/><Relationship Id="rId2" Type="http://schemas.openxmlformats.org/officeDocument/2006/relationships/hyperlink" Target="https://statistica.gov.md/ro/forta-de-munca-ocuparea-si-somajul-in-anul-2024-9430_61728.html" TargetMode="External"/><Relationship Id="rId1" Type="http://schemas.openxmlformats.org/officeDocument/2006/relationships/hyperlink" Target="https://statistica.gov.md/ro/statistic_indicator_details/60" TargetMode="External"/><Relationship Id="rId6" Type="http://schemas.openxmlformats.org/officeDocument/2006/relationships/hyperlink" Target="https://statistica.gov.md/ro/rezultatele-finale-ale-recensamantului-populatiei-si-locuintelor-2024-caracteris-10121_62102.html" TargetMode="External"/><Relationship Id="rId11" Type="http://schemas.openxmlformats.org/officeDocument/2006/relationships/hyperlink" Target="https://gov.md/sites/default/files/media/documents/2025-04/Raportul%20cu%20privire%20la%20activitatea%20Guvernului%202024.pdf?utm_source=chatgpt.com" TargetMode="External"/><Relationship Id="rId5" Type="http://schemas.openxmlformats.org/officeDocument/2006/relationships/hyperlink" Target="https://anofm.md/view_document?nid=20974" TargetMode="External"/><Relationship Id="rId10" Type="http://schemas.openxmlformats.org/officeDocument/2006/relationships/hyperlink" Target="https://moldova.un.org/ro/213110-cadrul-de-cooperare-pentru-dezvoltare-durabil%C4%83-al-organiza%C8%9Biei-na%C8%9Biunilor-unite-2023-2027?utm_source=chatgpt.com" TargetMode="External"/><Relationship Id="rId4" Type="http://schemas.openxmlformats.org/officeDocument/2006/relationships/hyperlink" Target="https://www.bnm.md/bdi/pages/reports/dbp/DBP4.xhtml?id=0&amp;lang=ro" TargetMode="External"/><Relationship Id="rId9" Type="http://schemas.openxmlformats.org/officeDocument/2006/relationships/hyperlink" Target="https://moldova.un.org/ro/246492-raport-de-progres-privind-implementarea-agendei-2030-pentru-dezvoltare-durabil%C4%83-%C3%AEn-republica?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9E9ED-BD78-4064-BA3A-25376FB8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8179</Words>
  <Characters>46626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dc:creator>
  <cp:lastModifiedBy>Aron Telegdi-Csetri</cp:lastModifiedBy>
  <cp:revision>5</cp:revision>
  <dcterms:created xsi:type="dcterms:W3CDTF">2026-03-01T12:47:00Z</dcterms:created>
  <dcterms:modified xsi:type="dcterms:W3CDTF">2026-03-03T08:59:00Z</dcterms:modified>
</cp:coreProperties>
</file>